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福建省林业数据智库</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CGXM-2025-350001-15912[2025]10723</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[350131]FZYX[采招][CS]2025001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福建省林业信息中心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福州邑鑫项目咨询管理有限公司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2026年01月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福建省林业信息中心</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福建省林业数据智库</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福州邑鑫项目咨询管理有限公司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福建省林业数据智库</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CGXM-2025-350001-15912[2025]10723</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[350131]FZYX[采招][CS]2025001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2,254,900.00</w:t>
      </w:r>
    </w:p>
    <w:p>
      <w:pPr>
        <w:pStyle w:val="null3"/>
        <w:jc w:val="left"/>
      </w:pPr>
      <w:r>
        <w:rPr>
          <w:rFonts w:ascii="仿宋_GB2312" w:hAnsi="仿宋_GB2312" w:cs="仿宋_GB2312" w:eastAsia="仿宋_GB2312"/>
        </w:rPr>
        <w:t>采购包最高限价（元）: 2,254,900.00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林业数据智库</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2,254,900.00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软件和信息技术服务业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林业数据智库</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2,254,900.00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林业数据智库</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林业数据智库</w:t>
            </w:r>
          </w:p>
        </w:tc>
        <w:tc>
          <w:tcPr>
            <w:tcW w:type="dxa" w:w="2076"/>
          </w:tcPr>
          <w:p>
            <w:pPr>
              <w:pStyle w:val="null3"/>
              <w:jc w:val="left"/>
            </w:pPr>
            <w:r>
              <w:rPr>
                <w:rFonts w:ascii="仿宋_GB2312" w:hAnsi="仿宋_GB2312" w:cs="仿宋_GB2312" w:eastAsia="仿宋_GB2312"/>
              </w:rPr>
              <w:t>林业数据智库</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2,254,900.00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福建省林业信息中心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鼓楼区冶山路10号省林业厅大楼432房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吴建凯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87876850</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福州邑鑫项目咨询管理有限公司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福州市仓山区金达路136号A栋楼二层A206单元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肖丽丹</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18750183623</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福州邑鑫项目咨询管理有限公司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福建省财政厅政府采购监督管理办公室</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中标/成交供应商在领取成交通知书前以转账或者电汇付款方式一次性向招标代理机构缴纳招标代理服务费。代理费收费按以下收费标准以差额定率累进法收取，服务采购费率计算标准如下：100万元以下按照成交金额的1.5%收取，100万元-500万元按照成交金额的0.8%收取。代理服务费收取账号信息：开户名：福州邑鑫项目咨询管理有限公司；开户行：中国民生银行福州闽侯上街支行；账 号：641379428。</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质疑函的递交方式 1、质疑函应以书面的方式递交。 2、质疑函送达方式： ①质疑人代表将完整的质疑函原件送达福州邑鑫项目咨询管理有限公司（以送达时间为准）。 ②快递邮寄的方式将完整的质疑函原件送达福州邑鑫项目咨询管理有限公司（以寄出时间为准）。 3、质疑函递交地址：福州邑鑫项目咨询管理有限公司（福州市仓山区金达路136号A栋楼二层A206单元），邮编：350000，联系人：肖丽丹，联系电话：0591-83013681。</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技术部分评分PT 满分为70.0000分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项目</w:t>
            </w:r>
          </w:p>
        </w:tc>
        <w:tc>
          <w:tcPr>
            <w:tcW w:type="dxa" w:w="831"/>
          </w:tcPr>
          <w:p>
            <w:pPr>
              <w:pStyle w:val="null3"/>
              <w:jc w:val="left"/>
            </w:pPr>
            <w:r>
              <w:rPr>
                <w:rFonts w:ascii="仿宋_GB2312" w:hAnsi="仿宋_GB2312" w:cs="仿宋_GB2312" w:eastAsia="仿宋_GB2312"/>
              </w:rPr>
              <w:t>分值</w:t>
            </w:r>
          </w:p>
        </w:tc>
        <w:tc>
          <w:tcPr>
            <w:tcW w:type="dxa" w:w="415"/>
          </w:tcPr>
          <w:p>
            <w:pPr>
              <w:pStyle w:val="null3"/>
              <w:jc w:val="left"/>
            </w:pPr>
            <w:r>
              <w:rPr>
                <w:rFonts w:ascii="仿宋_GB2312" w:hAnsi="仿宋_GB2312" w:cs="仿宋_GB2312" w:eastAsia="仿宋_GB2312"/>
              </w:rPr>
              <w:t>是否客观项</w:t>
            </w:r>
          </w:p>
        </w:tc>
        <w:tc>
          <w:tcPr>
            <w:tcW w:type="dxa" w:w="3738"/>
          </w:tcPr>
          <w:p>
            <w:pPr>
              <w:pStyle w:val="null3"/>
              <w:jc w:val="left"/>
            </w:pPr>
            <w:r>
              <w:rPr>
                <w:rFonts w:ascii="仿宋_GB2312" w:hAnsi="仿宋_GB2312" w:cs="仿宋_GB2312" w:eastAsia="仿宋_GB2312"/>
              </w:rPr>
              <w:t>描述</w:t>
            </w:r>
          </w:p>
        </w:tc>
      </w:tr>
      <w:tr>
        <w:tc>
          <w:tcPr>
            <w:tcW w:type="dxa" w:w="3322"/>
          </w:tcPr>
          <w:p>
            <w:pPr>
              <w:pStyle w:val="null3"/>
              <w:jc w:val="left"/>
            </w:pPr>
            <w:r>
              <w:rPr>
                <w:rFonts w:ascii="仿宋_GB2312" w:hAnsi="仿宋_GB2312" w:cs="仿宋_GB2312" w:eastAsia="仿宋_GB2312"/>
              </w:rPr>
              <w:t>1.技术响应</w:t>
            </w:r>
          </w:p>
        </w:tc>
        <w:tc>
          <w:tcPr>
            <w:tcW w:type="dxa" w:w="831"/>
          </w:tcPr>
          <w:p>
            <w:pPr>
              <w:pStyle w:val="null3"/>
              <w:jc w:val="right"/>
            </w:pPr>
            <w:r>
              <w:rPr>
                <w:rFonts w:ascii="仿宋_GB2312" w:hAnsi="仿宋_GB2312" w:cs="仿宋_GB2312" w:eastAsia="仿宋_GB2312"/>
              </w:rPr>
              <w:t>47.00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磋商文件第三章"采购内容及要求"的“二、技术要求”的逐项响应情况进行评分（需提供技术和服务要求响应表）：技术要求中标有“★”符号的条款(共2项)为不允许负偏离的实质性要求，有出现负偏离的按投标无效处理;标注【项号】的技术要求全部满足的得47分，共计44项（项号1-项号44）。其中，标有“▲”符号的条款（共3项）每负偏离一项扣2分，未标注符号的条款每负偏离一项扣1分，正偏离不加分，评审小组将按照上述评分标准计算供应商的技术指标得分。注：供应商必须根据该评审内容，对照磋商文件的要求逐项进行应答，如实说明正、负偏离或无偏离情况，否则，有可能做出不利于供应商的评判（负偏离）。磋商文件中技术和服务要求若有要求供应商提供承诺函或相应佐证材料的，供应商未提供承诺函或相应佐证材料或者供应商的响应情况与其承诺函或佐证材料不一致的，评标委员会将以不利于供应商的内容为准进行评审（负偏离）。</w:t>
            </w:r>
          </w:p>
        </w:tc>
      </w:tr>
      <w:tr>
        <w:tc>
          <w:tcPr>
            <w:tcW w:type="dxa" w:w="3322"/>
          </w:tcPr>
          <w:p>
            <w:pPr>
              <w:pStyle w:val="null3"/>
              <w:jc w:val="left"/>
            </w:pPr>
            <w:r>
              <w:rPr>
                <w:rFonts w:ascii="仿宋_GB2312" w:hAnsi="仿宋_GB2312" w:cs="仿宋_GB2312" w:eastAsia="仿宋_GB2312"/>
              </w:rPr>
              <w:t>2.现状与需求分析</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对项目现状与需求分析方案（包含但不限于①用户分析；②应用系统现状；③信息资源现状；④基础设施现状；⑤需求分析）方案包含的要点均应在标题中按要求的顺序一一列出，由评委进行评分：方案所包含内容要点齐全无缺漏项、内容与要点相符、每个要点均有展开详细的阐述、整体思路结构清晰，内容描述合理可行，细节考虑周全且能够适用于本项目、有添加除以上要点外的其他内容且能够适用于本项目的得2分；方案包含的要点齐全无缺漏项、内容与要点相符、每个要点均有展开详细的阐述、整体思路结构清晰，内容描述合理可行，细节考虑周全且能够适用于本项目的得1.5分；要点齐全、内容与要点相符、每个要点均有展开阐述（没有特别具体）、整体思路结构较清晰，内容描述较合理可行，细节考虑较周全且基本能够适用于本项目的得1分；方案所包含的要点有缺漏或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3.总体设计方案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总体设计方案（包含但不限于：①总体架构设计；②技术架构设计；③网络拓扑结构；④数据架构设计；⑤内外部协同关系）方案包含的要点均应在标题中按要求的顺序一一列出，由评委进行评分：方案所包含内容要点齐全无缺漏项、内容与要点相符、每个要点均有展开详细的阐述、整体思路结构清晰，内容描述合理可行，细节考虑周全且能够适用于本项目、有添加除以上要点外的其他内容且能够适用于本项目的得3分；方案包含的要点齐全无缺漏项、内容与要点相符、每个要点均有展开详细的阐述、整体思路结构清晰，内容描述合理可行，细节考虑周全且能够适用于本项目的得2.5分；要点齐全、内容与要点相符、每个要点均有展开阐述（没有特别具体）、整体思路结构较清晰，内容描述较合理可行，细节考虑较周全且基本能够适用于本项目的得2分；方案所包含的要点有缺漏或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4.详细设计方案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详细设计方案（包含：林业知识库、智能助手、应用场景智能体），由评委进行评分：方案所包含内容要点齐全无缺漏项，充分考虑了数据复杂性、应用的复杂度、质量不一等实际挑战、并提出了切实可行的解决方案，方案与项目业务目标高度契合、有价值创新点的得3分；方案所包含内容要点齐全无缺漏项，细节考虑周全但不够深入或具体，内容与项目需求相符能够适用于本项目的得2.5分；方案所包含内容要点齐全无缺漏项、个别部分阐述过于简略或笼统，缺乏关键的技术细节和实施步骤，难以评估其具体可操作性，与项目需求的匹配度一般，部分内容可能停留在概念层面的得2分；方案所包含的要点有缺漏或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5.系统演示①</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统计分析智能体核心功能演示情况进行评分：①意图识别：判断查询类型；②智能查询：利用大语言模型理解用户意图，执行森林资源数据库检索和统计；③结果输出：基于统计分析结果，利用智能体和大语言模型，实现结果输出，包括文字总结生成和可视化图表呈现。 注：（1）以上演示内容全满足得3分，每缺失1项扣1分，扣完为止。演示内容需以真实系统演示并通过视频录屏方式提交，不接受word、ppt、pdf、效果图、静态页面、原型设计界面等方式模拟演示，涉及演示数据均采用模拟数据。（2）系统演示①—④整体演示时间不超过15分钟。</w:t>
            </w:r>
          </w:p>
        </w:tc>
      </w:tr>
      <w:tr>
        <w:tc>
          <w:tcPr>
            <w:tcW w:type="dxa" w:w="3322"/>
          </w:tcPr>
          <w:p>
            <w:pPr>
              <w:pStyle w:val="null3"/>
              <w:jc w:val="left"/>
            </w:pPr>
            <w:r>
              <w:rPr>
                <w:rFonts w:ascii="仿宋_GB2312" w:hAnsi="仿宋_GB2312" w:cs="仿宋_GB2312" w:eastAsia="仿宋_GB2312"/>
              </w:rPr>
              <w:t>6.系统演示②</w:t>
            </w:r>
          </w:p>
        </w:tc>
        <w:tc>
          <w:tcPr>
            <w:tcW w:type="dxa" w:w="831"/>
          </w:tcPr>
          <w:p>
            <w:pPr>
              <w:pStyle w:val="null3"/>
              <w:jc w:val="right"/>
            </w:pPr>
            <w:r>
              <w:rPr>
                <w:rFonts w:ascii="仿宋_GB2312" w:hAnsi="仿宋_GB2312" w:cs="仿宋_GB2312" w:eastAsia="仿宋_GB2312"/>
              </w:rPr>
              <w:t>4.00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建设项目使用林地辅助智能分析核心功能演示情况进行评分：①具备建设项目红线导入功能；②具备建设项目使用林地的自动化合规性辅助分析，包括：审核内容、审核规则、对比情况、审核结果,涵盖使用林地位置、使用林地范围、使用林地现状等信息；③基于统计结果，利用大语言模型自动生成林地分析总结文本，对林地使用情况进行概括总结，并给出相关的分析结论；④实现审核详表输出，包括林地实际因子表以及规则符合或冲突因子信息。 注：（1）以上演示内容全满足得4分，每缺失1项扣1分，扣完为止。演示内容需以真实系统演示并通过视频录屏方式提交，不接受word、ppt、pdf、效果图、静态页面、原型设计界面等方式模拟演示，涉及演示数据均采用模拟数据。（2）系统演示①—④整体演示时间不超过15分钟。</w:t>
            </w:r>
          </w:p>
        </w:tc>
      </w:tr>
      <w:tr>
        <w:tc>
          <w:tcPr>
            <w:tcW w:type="dxa" w:w="3322"/>
          </w:tcPr>
          <w:p>
            <w:pPr>
              <w:pStyle w:val="null3"/>
              <w:jc w:val="left"/>
            </w:pPr>
            <w:r>
              <w:rPr>
                <w:rFonts w:ascii="仿宋_GB2312" w:hAnsi="仿宋_GB2312" w:cs="仿宋_GB2312" w:eastAsia="仿宋_GB2312"/>
              </w:rPr>
              <w:t>7.系统演示③</w:t>
            </w:r>
          </w:p>
        </w:tc>
        <w:tc>
          <w:tcPr>
            <w:tcW w:type="dxa" w:w="831"/>
          </w:tcPr>
          <w:p>
            <w:pPr>
              <w:pStyle w:val="null3"/>
              <w:jc w:val="right"/>
            </w:pPr>
            <w:r>
              <w:rPr>
                <w:rFonts w:ascii="仿宋_GB2312" w:hAnsi="仿宋_GB2312" w:cs="仿宋_GB2312" w:eastAsia="仿宋_GB2312"/>
              </w:rPr>
              <w:t>4.00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林木采伐规划智能分析核心功能演示情况进行评分：①具备范围附件导入功能，根据导入的范围自动进行森林资源小班分析筛选；②根据经营目标及资源小班基础信息，基于知识库采伐类型适配规则，智能推荐小班最合适的采伐类型，输出小班列表；③根据小班的采伐类型、林分特征结合知识库的典型经验，实现采伐方式以及采伐强度分析；④基于智能分析结果，利用智能体和大语言模型，实现文字总结生成、可视化图表呈现和小班详表输出（包含基础信息、采伐类型、采伐方式以及采伐强度）。 注：（1）以上演示内容全满足得4分，每缺失1项扣1分，扣完为止。演示内容需以真实系统演示并通过视频录屏方式提交，不接受word、ppt、pdf、效果图、静态页面、原型设计界面等方式模拟演示，涉及演示数据均采用模拟数据。（2）系统演示①—④整体演示时间不超过15分钟。</w:t>
            </w:r>
          </w:p>
        </w:tc>
      </w:tr>
      <w:tr>
        <w:tc>
          <w:tcPr>
            <w:tcW w:type="dxa" w:w="3322"/>
          </w:tcPr>
          <w:p>
            <w:pPr>
              <w:pStyle w:val="null3"/>
              <w:jc w:val="left"/>
            </w:pPr>
            <w:r>
              <w:rPr>
                <w:rFonts w:ascii="仿宋_GB2312" w:hAnsi="仿宋_GB2312" w:cs="仿宋_GB2312" w:eastAsia="仿宋_GB2312"/>
              </w:rPr>
              <w:t>8.系统演示④</w:t>
            </w:r>
          </w:p>
        </w:tc>
        <w:tc>
          <w:tcPr>
            <w:tcW w:type="dxa" w:w="831"/>
          </w:tcPr>
          <w:p>
            <w:pPr>
              <w:pStyle w:val="null3"/>
              <w:jc w:val="right"/>
            </w:pPr>
            <w:r>
              <w:rPr>
                <w:rFonts w:ascii="仿宋_GB2312" w:hAnsi="仿宋_GB2312" w:cs="仿宋_GB2312" w:eastAsia="仿宋_GB2312"/>
              </w:rPr>
              <w:t>4.00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营造林智能分析核心功能演示情况进行评分：①具备营造林范围附件导入功能，根据导入的营造林范围自动进行森林资源小班分析筛选；②基于森林资源小班信息，智能分析识别可造林地块，形成可造林地块详表；③基于立地类型以及区域典型经验，智能筛选适宜树种，并按照适宜程度进行排序推介，并结合知识库给出理由；④基于统计分析结果，利用智能体和大语言模型，实现结果的输出，包括文字总结生成、可视化图表呈现、造林详表输出。 注：（1）以上演示内容全满足得4分，每缺失1项扣1分，扣完为止。演示内容需以真实系统演示并通过视频录屏方式提交，不接受word、ppt、pdf、效果图、静态页面、原型设计界面等方式模拟演示，涉及演示数据均采用模拟数据。（2）系统演示①—④整体演示时间不超过15分钟。</w:t>
            </w:r>
          </w:p>
        </w:tc>
      </w:tr>
    </w:tbl>
    <w:p>
      <w:pPr>
        <w:pStyle w:val="null3"/>
        <w:jc w:val="left"/>
      </w:pPr>
      <w:r>
        <w:rPr>
          <w:rFonts w:ascii="仿宋_GB2312" w:hAnsi="仿宋_GB2312" w:cs="仿宋_GB2312" w:eastAsia="仿宋_GB2312"/>
        </w:rPr>
        <w:t>商务部分评分PB 满分为20.0000分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项目</w:t>
            </w:r>
          </w:p>
        </w:tc>
        <w:tc>
          <w:tcPr>
            <w:tcW w:type="dxa" w:w="831"/>
          </w:tcPr>
          <w:p>
            <w:pPr>
              <w:pStyle w:val="null3"/>
              <w:jc w:val="left"/>
            </w:pPr>
            <w:r>
              <w:rPr>
                <w:rFonts w:ascii="仿宋_GB2312" w:hAnsi="仿宋_GB2312" w:cs="仿宋_GB2312" w:eastAsia="仿宋_GB2312"/>
              </w:rPr>
              <w:t>分值</w:t>
            </w:r>
          </w:p>
        </w:tc>
        <w:tc>
          <w:tcPr>
            <w:tcW w:type="dxa" w:w="415"/>
          </w:tcPr>
          <w:p>
            <w:pPr>
              <w:pStyle w:val="null3"/>
              <w:jc w:val="left"/>
            </w:pPr>
            <w:r>
              <w:rPr>
                <w:rFonts w:ascii="仿宋_GB2312" w:hAnsi="仿宋_GB2312" w:cs="仿宋_GB2312" w:eastAsia="仿宋_GB2312"/>
              </w:rPr>
              <w:t>是否客观项</w:t>
            </w:r>
          </w:p>
        </w:tc>
        <w:tc>
          <w:tcPr>
            <w:tcW w:type="dxa" w:w="3738"/>
          </w:tcPr>
          <w:p>
            <w:pPr>
              <w:pStyle w:val="null3"/>
              <w:jc w:val="left"/>
            </w:pPr>
            <w:r>
              <w:rPr>
                <w:rFonts w:ascii="仿宋_GB2312" w:hAnsi="仿宋_GB2312" w:cs="仿宋_GB2312" w:eastAsia="仿宋_GB2312"/>
              </w:rPr>
              <w:t>描述</w:t>
            </w:r>
          </w:p>
        </w:tc>
      </w:tr>
      <w:tr>
        <w:tc>
          <w:tcPr>
            <w:tcW w:type="dxa" w:w="3322"/>
          </w:tcPr>
          <w:p>
            <w:pPr>
              <w:pStyle w:val="null3"/>
              <w:jc w:val="left"/>
            </w:pPr>
            <w:r>
              <w:rPr>
                <w:rFonts w:ascii="仿宋_GB2312" w:hAnsi="仿宋_GB2312" w:cs="仿宋_GB2312" w:eastAsia="仿宋_GB2312"/>
              </w:rPr>
              <w:t>企业实力1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本项目应用场景类似业务计算机软件著作权登记证书，每提供一个类别的证书的得1分，相同类别不重复的分，本项满分3分；须提供有效证书复印件并加盖供应商公章，原件备查，未按要求提供或提供不全的不得分。</w:t>
            </w:r>
          </w:p>
        </w:tc>
      </w:tr>
      <w:tr>
        <w:tc>
          <w:tcPr>
            <w:tcW w:type="dxa" w:w="3322"/>
          </w:tcPr>
          <w:p>
            <w:pPr>
              <w:pStyle w:val="null3"/>
              <w:jc w:val="left"/>
            </w:pPr>
            <w:r>
              <w:rPr>
                <w:rFonts w:ascii="仿宋_GB2312" w:hAnsi="仿宋_GB2312" w:cs="仿宋_GB2312" w:eastAsia="仿宋_GB2312"/>
              </w:rPr>
              <w:t>综合实力2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信息技术服务管理体系认证证书得1分，需提供有效的认证证书复印件以及该证书在全国认证认可信息公共服务平台（http://cx.cnca.cn）上状态为“有效”的查询结果网页截图打印件并加盖供应商公章，未按要求提供或提供不全的不得分。</w:t>
            </w:r>
          </w:p>
        </w:tc>
      </w:tr>
      <w:tr>
        <w:tc>
          <w:tcPr>
            <w:tcW w:type="dxa" w:w="3322"/>
          </w:tcPr>
          <w:p>
            <w:pPr>
              <w:pStyle w:val="null3"/>
              <w:jc w:val="left"/>
            </w:pPr>
            <w:r>
              <w:rPr>
                <w:rFonts w:ascii="仿宋_GB2312" w:hAnsi="仿宋_GB2312" w:cs="仿宋_GB2312" w:eastAsia="仿宋_GB2312"/>
              </w:rPr>
              <w:t>综合实力3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信息安全管理体系认证证书得1分，需提供有效的认证证书复印件以及该证书在全国认证认可信息公共服务平台（http://cx.cnca.cn）上状态为“有效”的查询结果网页截图打印件并加盖供应商公章，未按要求提供或提供不全的不得分。</w:t>
            </w:r>
          </w:p>
        </w:tc>
      </w:tr>
      <w:tr>
        <w:tc>
          <w:tcPr>
            <w:tcW w:type="dxa" w:w="3322"/>
          </w:tcPr>
          <w:p>
            <w:pPr>
              <w:pStyle w:val="null3"/>
              <w:jc w:val="left"/>
            </w:pPr>
            <w:r>
              <w:rPr>
                <w:rFonts w:ascii="仿宋_GB2312" w:hAnsi="仿宋_GB2312" w:cs="仿宋_GB2312" w:eastAsia="仿宋_GB2312"/>
              </w:rPr>
              <w:t>企业实力4</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供应商具备CMMI3级或以上认证证书得1分，需提证书复印件以及在“CMMI Institute官方认证结果查询网站”（或国内权威的认证信息公示平台）上状态为“有效”的查询结果网页截图打印件，并加盖供应商公章，未按要求提供或提供不全的不得分。</w:t>
            </w:r>
          </w:p>
        </w:tc>
      </w:tr>
      <w:tr>
        <w:tc>
          <w:tcPr>
            <w:tcW w:type="dxa" w:w="3322"/>
          </w:tcPr>
          <w:p>
            <w:pPr>
              <w:pStyle w:val="null3"/>
              <w:jc w:val="left"/>
            </w:pPr>
            <w:r>
              <w:rPr>
                <w:rFonts w:ascii="仿宋_GB2312" w:hAnsi="仿宋_GB2312" w:cs="仿宋_GB2312" w:eastAsia="仿宋_GB2312"/>
              </w:rPr>
              <w:t>项目负责人</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安排的项目负责人具有项目管理专业人员资格认证（PMP）的得2分，否则不得分。须同时提供证书扫描件、首次响应文件递交截止时间前六个月内任意一个月税务机关或社保机构出具的人员社会保险证明扫描件（应为供应商自身缴纳）并加盖公章，未按要求提供或提供不全的不得分。</w:t>
            </w:r>
          </w:p>
        </w:tc>
      </w:tr>
      <w:tr>
        <w:tc>
          <w:tcPr>
            <w:tcW w:type="dxa" w:w="3322"/>
          </w:tcPr>
          <w:p>
            <w:pPr>
              <w:pStyle w:val="null3"/>
              <w:jc w:val="left"/>
            </w:pPr>
            <w:r>
              <w:rPr>
                <w:rFonts w:ascii="仿宋_GB2312" w:hAnsi="仿宋_GB2312" w:cs="仿宋_GB2312" w:eastAsia="仿宋_GB2312"/>
              </w:rPr>
              <w:t>项目质量负责人</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安排的项目质量负责人具有软件评测师证书的得2分，否则不得分。须同时提供证书扫描件、首次响应文件递交截止时间前六个月内任意一个月税务机关或社保机构出具的人员社会保险证明扫描件（应为供应商自身缴纳）并加盖公章，未按要求提供或提供不全的不得分。</w:t>
            </w:r>
          </w:p>
        </w:tc>
      </w:tr>
      <w:tr>
        <w:tc>
          <w:tcPr>
            <w:tcW w:type="dxa" w:w="3322"/>
          </w:tcPr>
          <w:p>
            <w:pPr>
              <w:pStyle w:val="null3"/>
              <w:jc w:val="left"/>
            </w:pPr>
            <w:r>
              <w:rPr>
                <w:rFonts w:ascii="仿宋_GB2312" w:hAnsi="仿宋_GB2312" w:cs="仿宋_GB2312" w:eastAsia="仿宋_GB2312"/>
              </w:rPr>
              <w:t>项目团队能力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派本项目团队人员（项目负责人、项目质量负责人除外）有信息系统项目管理师、测绘高级工程师、林业高级工程师的，每提供1名成员具备其中1类证书的得1分，满分3分。须同时提供证书扫描件、首次响应文件递交截止时间前六个月内任意一个月税务机关或社保机构出具的人员社会保险证明扫描件（应为供应商自身缴纳）并加盖公章，否则不得分。同一人具备多项证书的不重复得分，同一类证书提供不同人员的不重复得分，未按要求提供或提供不全的不得分。</w:t>
            </w:r>
          </w:p>
        </w:tc>
      </w:tr>
      <w:tr>
        <w:tc>
          <w:tcPr>
            <w:tcW w:type="dxa" w:w="3322"/>
          </w:tcPr>
          <w:p>
            <w:pPr>
              <w:pStyle w:val="null3"/>
              <w:jc w:val="left"/>
            </w:pPr>
            <w:r>
              <w:rPr>
                <w:rFonts w:ascii="仿宋_GB2312" w:hAnsi="仿宋_GB2312" w:cs="仿宋_GB2312" w:eastAsia="仿宋_GB2312"/>
              </w:rPr>
              <w:t>满意度评价</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2023年1月1日（以评价落款时间为准）至本项目首次响应文件递交截止时间止类似项目的业主好评进行评价：①每提供一份评价意见为得分90分及以上的或良好以上的满意度评价证明的得1分，满分3分；②未提供或评价意见一般、较差的均不得分。须提供合同文本复印件和满意度评价的相关证明文件，未按要求提供或提供不全的不得分。</w:t>
            </w:r>
          </w:p>
        </w:tc>
      </w:tr>
      <w:tr>
        <w:tc>
          <w:tcPr>
            <w:tcW w:type="dxa" w:w="3322"/>
          </w:tcPr>
          <w:p>
            <w:pPr>
              <w:pStyle w:val="null3"/>
              <w:jc w:val="left"/>
            </w:pPr>
            <w:r>
              <w:rPr>
                <w:rFonts w:ascii="仿宋_GB2312" w:hAnsi="仿宋_GB2312" w:cs="仿宋_GB2312" w:eastAsia="仿宋_GB2312"/>
              </w:rPr>
              <w:t>业绩</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自2023年1月1日起至本项目首次响应文件递交截止时间止（日期以合同签订时间为准)具有信息化类项目业绩案例，由评委进行评分：每提供一个得0.5分，满分2分。【需提供①中标（成交）公告（提供相关网站中标（成交）公告的下载网页并注明网址）；②中标（成交）通知书；③采购合同文本；④业绩项目已履约完毕的，提供能够证明该业绩项目经验收合格或履约完成的相关证明材料。未按要求提供或提供不全的不得分。】</w:t>
            </w:r>
          </w:p>
        </w:tc>
      </w:tr>
      <w:tr>
        <w:tc>
          <w:tcPr>
            <w:tcW w:type="dxa" w:w="3322"/>
          </w:tcPr>
          <w:p>
            <w:pPr>
              <w:pStyle w:val="null3"/>
              <w:jc w:val="left"/>
            </w:pPr>
            <w:r>
              <w:rPr>
                <w:rFonts w:ascii="仿宋_GB2312" w:hAnsi="仿宋_GB2312" w:cs="仿宋_GB2312" w:eastAsia="仿宋_GB2312"/>
              </w:rPr>
              <w:t>安全应急响应承诺</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应具备良好的安全应急响应能力，在项目实施及售后维保期间针对突发事件，能够按磋商文件规定的现场响应或故障修复时限及时到达实施或运维现场提供服务。供应商需提供相关承诺函（格式自拟）并加盖供应商公章，未按要求提供或提供不全的不得分，本项满分2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技术部分中出现报价部分的全部或部分的投标报价信息（或组成资料）的；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不满足磋商文件第三章"采购内容及要求"的“二、技术要求”中标注★条款的。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不符合磋商文件中规定的其它实质性要求条款的。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商务部分中出现报价部分的全部或部分的投标报价信息（或组成资料）的；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不满足或未响应磋商文件第三章"采购内容及要求"的“三、商务条件”中标注“★”条款的；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不符合磋商文件中规定的其它实质性要求条款的。</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不符合磋商件中规定的其它实质性要求条款的。</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24.1进口产品与本国产品相关约定</w:t>
      </w:r>
    </w:p>
    <w:p>
      <w:pPr>
        <w:pStyle w:val="null3"/>
        <w:ind w:firstLine="480"/>
        <w:jc w:val="left"/>
      </w:pPr>
      <w:r>
        <w:rPr>
          <w:rFonts w:ascii="仿宋_GB2312" w:hAnsi="仿宋_GB2312" w:cs="仿宋_GB2312" w:eastAsia="仿宋_GB2312"/>
        </w:rPr>
        <w:t>24.1.1进口产品指通过中国海关报关验放进入中国境内且产自关境外的产品，其中：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24.1.2本国产品标准及政策要求</w:t>
      </w:r>
    </w:p>
    <w:p>
      <w:pPr>
        <w:pStyle w:val="null3"/>
        <w:ind w:firstLine="480"/>
        <w:jc w:val="left"/>
      </w:pPr>
      <w:r>
        <w:rPr>
          <w:rFonts w:ascii="仿宋_GB2312" w:hAnsi="仿宋_GB2312" w:cs="仿宋_GB2312" w:eastAsia="仿宋_GB2312"/>
        </w:rPr>
        <w:t>（1）本国产品标准 本国产品应当符合以下条件： ①在中国境内生产。 产品应当在中国境内生产，即在中华人民共和国关境内实现从原材料、组件到产品的属性改变。 属性改变是指经过制造、加工或者组装等工序，产生完全不同于原材料、组件的新产品，并具有新的名称和特征（用途）。属性改变不包括以下细微操作： a.为确保产品在运输或者储存期间保持某种状态而进行的操作； b.为产品运输或者销售进行的包装或者展示； c.在产品或者其包装上粘贴或者印刷品牌、标志、标识以及其他用于区别的标记； d.简单的上漆、磨光和分装； e.其他不属于属性改变的情形。 ②在中国境内生产的组件成本占比达到规定比例。 具体判定标准以《国务院办公厅关于在政府采购中实施本国产品标准及相关政策的通知》以及财政部相关文件为准。 ③特定产品的关键组件、关键工序符合相关要求。 具体判定标准以《国务院办公厅关于在政府采购中实施本国产品标准及相关政策的通知》以及财政部相关文件为准。</w:t>
      </w:r>
    </w:p>
    <w:p>
      <w:pPr>
        <w:pStyle w:val="null3"/>
        <w:ind w:firstLine="480"/>
        <w:jc w:val="left"/>
      </w:pPr>
      <w:r>
        <w:rPr>
          <w:rFonts w:ascii="仿宋_GB2312" w:hAnsi="仿宋_GB2312" w:cs="仿宋_GB2312" w:eastAsia="仿宋_GB2312"/>
        </w:rPr>
        <w:t>（2）本国产品标准的适用范围 本国产品标准适用于货物，包括政府采购货物项目和服务项目中涉及的货物。适用本国产品标准的货物具体是指《政府采购品目分类目录》中的货物类产品，但不包括其中的房屋和构筑物，文物和陈列品，图书和档案，特种动植物，农林牧渔业产品，矿与矿物，电力、城市燃气、蒸汽和热水、水，食品、饮料和烟草原料，无形资产。</w:t>
      </w:r>
    </w:p>
    <w:p>
      <w:pPr>
        <w:pStyle w:val="null3"/>
        <w:ind w:firstLine="480"/>
        <w:jc w:val="left"/>
      </w:pPr>
      <w:r>
        <w:rPr>
          <w:rFonts w:ascii="仿宋_GB2312" w:hAnsi="仿宋_GB2312" w:cs="仿宋_GB2312" w:eastAsia="仿宋_GB2312"/>
        </w:rPr>
        <w:t>（3）对本国产品的支持政策 政府采购活动中既有本国产品又有非本国产品参与竞争的，依法对本国产品给予价格评审优惠，对本国产品的报价给予20%的价格扣除，用扣除后的价格参与评审。</w:t>
      </w:r>
    </w:p>
    <w:p>
      <w:pPr>
        <w:pStyle w:val="null3"/>
        <w:ind w:firstLine="480"/>
        <w:jc w:val="left"/>
      </w:pPr>
      <w:r>
        <w:rPr>
          <w:rFonts w:ascii="仿宋_GB2312" w:hAnsi="仿宋_GB2312" w:cs="仿宋_GB2312" w:eastAsia="仿宋_GB2312"/>
        </w:rPr>
        <w:t>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tbl>
      <w:tblPr>
        <w:tblW w:w="0" w:type="auto"/>
        <w:tblBorders>
          <w:top w:val="none" w:color="000000" w:sz="4"/>
          <w:left w:val="none" w:color="000000" w:sz="4"/>
          <w:bottom w:val="none" w:color="000000" w:sz="4"/>
          <w:right w:val="none" w:color="000000" w:sz="4"/>
          <w:insideH w:val="none"/>
          <w:insideV w:val="none"/>
        </w:tblBorders>
      </w:tblPr>
      <w:tblGrid>
        <w:gridCol w:w="892"/>
        <w:gridCol w:w="1301"/>
        <w:gridCol w:w="935"/>
        <w:gridCol w:w="5147"/>
      </w:tblGrid>
      <w:tr>
        <w:tc>
          <w:tcPr>
            <w:tcW w:type="dxa" w:w="8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内容</w:t>
            </w:r>
          </w:p>
        </w:tc>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5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说明</w:t>
            </w: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林业知识库</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5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汇聚林业信息资源数据，整合专家经验、标准规范、技术规程、政策法规、行业知识等知识资源，构建林业知识库，为智能助手及应用场景服务提供基础数据保障，通过林业专业知识库搭建，形成智慧林业数字能力中枢，为形成符合福建林业管理要求的决策建议、实施方案等提供支撑，赋能林业业务应用场景。</w:t>
            </w: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智能助手</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5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基于开源大语言模型（</w:t>
            </w:r>
            <w:r>
              <w:rPr>
                <w:rFonts w:ascii="仿宋_GB2312" w:hAnsi="仿宋_GB2312" w:cs="仿宋_GB2312" w:eastAsia="仿宋_GB2312"/>
                <w:sz w:val="21"/>
              </w:rPr>
              <w:t>deepseek、通义千问等）和林业知识库，建立林业智能助手，实现问答式智能检索、智能诊断与决策推演，解决传统管理知识断档问题，为资源监测、生态修复、灾害防控、产业发展等林业业务提供数据信息、图表交互、文字表达等专业决策建议和实施方案。</w:t>
            </w: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应用场景智能体</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5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面向统计分析、建设项目使用林地辅助分析、林木采伐规划分析、营造林分析、松材线虫病防治、国有林场可持续经营等业务应用方向，搭建林业智能应用场景智能体，为林业业务开展提供支撑服务，形成典型示范场景，提升林业业务智能化水平。</w:t>
            </w:r>
          </w:p>
        </w:tc>
      </w:tr>
    </w:tbl>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8"/>
          <w:b/>
        </w:rPr>
        <w:t>1.林业知识库建设技术和服务要求</w:t>
      </w:r>
    </w:p>
    <w:p>
      <w:pPr>
        <w:pStyle w:val="null3"/>
        <w:jc w:val="both"/>
      </w:pPr>
      <w:r>
        <w:rPr>
          <w:rFonts w:ascii="仿宋_GB2312" w:hAnsi="仿宋_GB2312" w:cs="仿宋_GB2312" w:eastAsia="仿宋_GB2312"/>
          <w:sz w:val="28"/>
          <w:b/>
        </w:rPr>
        <w:t>1.1林业知识库数据内容</w:t>
      </w:r>
    </w:p>
    <w:p>
      <w:pPr>
        <w:pStyle w:val="null3"/>
        <w:ind w:firstLine="480"/>
      </w:pPr>
      <w:r>
        <w:rPr>
          <w:rFonts w:ascii="仿宋_GB2312" w:hAnsi="仿宋_GB2312" w:cs="仿宋_GB2312" w:eastAsia="仿宋_GB2312"/>
          <w:sz w:val="24"/>
        </w:rPr>
        <w:t>完成林业信息共享服务平台、智慧林业</w:t>
      </w:r>
      <w:r>
        <w:rPr>
          <w:rFonts w:ascii="仿宋_GB2312" w:hAnsi="仿宋_GB2312" w:cs="仿宋_GB2312" w:eastAsia="仿宋_GB2312"/>
          <w:sz w:val="24"/>
        </w:rPr>
        <w:t>“123”工程二期以及林业各级管理部门以及单位收集的相关知识库资料建库，详情内容如下表：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555"/>
        <w:gridCol w:w="1260"/>
        <w:gridCol w:w="1920"/>
        <w:gridCol w:w="735"/>
        <w:gridCol w:w="735"/>
        <w:gridCol w:w="3060"/>
      </w:tblGrid>
      <w:tr>
        <w:tc>
          <w:tcPr>
            <w:tcW w:type="dxa" w:w="555"/>
            <w:tcBorders>
              <w:top w:val="double" w:color="000000" w:sz="4"/>
              <w:left w:val="doub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260"/>
            <w:tcBorders>
              <w:top w:val="doub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数据内容</w:t>
            </w:r>
          </w:p>
        </w:tc>
        <w:tc>
          <w:tcPr>
            <w:tcW w:type="dxa" w:w="1920"/>
            <w:tcBorders>
              <w:top w:val="doub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数据来源</w:t>
            </w:r>
          </w:p>
        </w:tc>
        <w:tc>
          <w:tcPr>
            <w:tcW w:type="dxa" w:w="735"/>
            <w:tcBorders>
              <w:top w:val="doub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735"/>
            <w:tcBorders>
              <w:top w:val="doub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页数</w:t>
            </w:r>
          </w:p>
        </w:tc>
        <w:tc>
          <w:tcPr>
            <w:tcW w:type="dxa" w:w="3060"/>
            <w:tcBorders>
              <w:top w:val="double" w:color="000000" w:sz="4"/>
              <w:left w:val="none" w:color="000000" w:sz="4"/>
              <w:bottom w:val="single" w:color="000000" w:sz="4"/>
              <w:right w:val="doub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说明</w:t>
            </w:r>
          </w:p>
        </w:tc>
      </w:tr>
      <w:tr>
        <w:tc>
          <w:tcPr>
            <w:tcW w:type="dxa" w:w="555"/>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林业综合数据库</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资源目录</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0"/>
            <w:vMerge w:val="restart"/>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来源林业信息共享服务平台，包含森林资源、行业管理、行政审批、森林保护</w:t>
            </w:r>
            <w:r>
              <w:rPr>
                <w:rFonts w:ascii="仿宋_GB2312" w:hAnsi="仿宋_GB2312" w:cs="仿宋_GB2312" w:eastAsia="仿宋_GB2312"/>
                <w:sz w:val="21"/>
              </w:rPr>
              <w:t>等数据</w:t>
            </w: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0"/>
            <w:vMerge/>
            <w:tcBorders>
              <w:top w:val="none" w:color="000000" w:sz="4"/>
              <w:left w:val="none" w:color="000000" w:sz="4"/>
              <w:bottom w:val="single" w:color="000000" w:sz="4"/>
              <w:right w:val="double" w:color="000000" w:sz="4"/>
            </w:tcBorders>
          </w:tc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统计指标</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0"/>
            <w:vMerge/>
            <w:tcBorders>
              <w:top w:val="none" w:color="000000" w:sz="4"/>
              <w:left w:val="none" w:color="000000" w:sz="4"/>
              <w:bottom w:val="single" w:color="000000" w:sz="4"/>
              <w:right w:val="double" w:color="000000" w:sz="4"/>
            </w:tcBorders>
          </w:tc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统计报表</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82318</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0"/>
            <w:vMerge/>
            <w:tcBorders>
              <w:top w:val="none" w:color="000000" w:sz="4"/>
              <w:left w:val="none" w:color="000000" w:sz="4"/>
              <w:bottom w:val="single" w:color="000000" w:sz="4"/>
              <w:right w:val="double" w:color="000000" w:sz="4"/>
            </w:tcBorders>
          </w:tcPr>
          <w:p/>
        </w:tc>
      </w:tr>
      <w:tr>
        <w:tc>
          <w:tcPr>
            <w:tcW w:type="dxa" w:w="555"/>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国有林场数据库</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小计</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资源管理</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包含森林资源、木储基地、特殊林木资源、天然林资源、基础设施等数据</w:t>
            </w: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林地林木管理</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包含林地项目、林地红线、补偿、林木采伐、检尺等数据</w:t>
            </w: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营林生产</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包含营林计划、作业设计、营造林、检查验收、种苗等数据</w:t>
            </w: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产业管理</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包含林下中药材、林下食用菌、林下养殖、林下采集加工等数据</w:t>
            </w: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森林旅游</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包含康养基地、康养小镇、休闲养生城市、森林人家、自然公园等数据</w:t>
            </w: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内部事务</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包含基础信息、内部事务等数据</w:t>
            </w:r>
          </w:p>
        </w:tc>
      </w:tr>
      <w:tr>
        <w:tc>
          <w:tcPr>
            <w:tcW w:type="dxa" w:w="555"/>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基础知识类资料</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小计</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729</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14713</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林业基础理论</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9960</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林业基础知识</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1432</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林业科研资料</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479</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3321</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政策制度类资料</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小计</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19654</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规章制度</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1427</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福建省技术标准</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3768</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技术标准（国标与行标）</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2267</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强制性国家标准（</w:t>
            </w:r>
            <w:r>
              <w:rPr>
                <w:rFonts w:ascii="仿宋_GB2312" w:hAnsi="仿宋_GB2312" w:cs="仿宋_GB2312" w:eastAsia="仿宋_GB2312"/>
                <w:sz w:val="21"/>
                <w:color w:val="000000"/>
              </w:rPr>
              <w:t>2）、推荐性国家标准（87）以及林业行业标准（2178）</w:t>
            </w: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科技法律法规</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林业法律法规</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3991</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年度综合材料</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上级政策</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2178</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政策文件</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1627</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7990</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报告总结类资料</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小计</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1266</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22737</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汇报材料</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专项分析报告</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13948</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专项规划方案</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3187</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综合材料</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597</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数据指标</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963</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4914</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决策咨询类资料</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小计</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1379</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技术咨询</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项目评审材料</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1276</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其他类型资料</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小计</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8173</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44469</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本局文件</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1240</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科技成果</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联合发文</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707</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业务服务事项</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558</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5580</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418个权责清单，140个标准化目录清单相关的办事指南，包含基本信息、受理条件、申报材料、办理流程、办理依据、收费情况等内容。</w:t>
            </w: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新闻报道</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3109</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15545</w:t>
            </w:r>
          </w:p>
        </w:tc>
        <w:tc>
          <w:tcPr>
            <w:tcW w:type="dxa" w:w="306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p>
        </w:tc>
      </w:tr>
      <w:tr>
        <w:tc>
          <w:tcPr>
            <w:tcW w:type="dxa" w:w="555"/>
            <w:vMerge/>
            <w:tcBorders>
              <w:top w:val="none" w:color="000000" w:sz="4"/>
              <w:left w:val="double" w:color="000000" w:sz="4"/>
              <w:bottom w:val="single" w:color="000000" w:sz="4"/>
              <w:right w:val="single" w:color="000000" w:sz="4"/>
            </w:tcBorders>
          </w:tcPr>
          <w:p/>
        </w:tc>
        <w:tc>
          <w:tcPr>
            <w:tcW w:type="dxa" w:w="1260"/>
            <w:vMerge/>
            <w:tcBorders>
              <w:top w:val="none" w:color="000000" w:sz="4"/>
              <w:left w:val="none" w:color="000000" w:sz="4"/>
              <w:bottom w:val="single" w:color="000000" w:sz="4"/>
              <w:right w:val="single" w:color="000000" w:sz="4"/>
            </w:tcBorders>
          </w:tcPr>
          <w:p/>
        </w:tc>
        <w:tc>
          <w:tcPr>
            <w:tcW w:type="dxa" w:w="1920"/>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w:t>
            </w:r>
          </w:p>
        </w:tc>
        <w:tc>
          <w:tcPr>
            <w:tcW w:type="dxa" w:w="735"/>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3911</w:t>
            </w:r>
          </w:p>
        </w:tc>
        <w:tc>
          <w:tcPr>
            <w:tcW w:type="dxa" w:w="735"/>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20867</w:t>
            </w:r>
          </w:p>
        </w:tc>
        <w:tc>
          <w:tcPr>
            <w:tcW w:type="dxa" w:w="3060"/>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pPr>
          </w:p>
        </w:tc>
      </w:tr>
    </w:tbl>
    <w:p>
      <w:pPr>
        <w:pStyle w:val="null3"/>
        <w:jc w:val="both"/>
      </w:pPr>
      <w:r>
        <w:rPr>
          <w:rFonts w:ascii="仿宋_GB2312" w:hAnsi="仿宋_GB2312" w:cs="仿宋_GB2312" w:eastAsia="仿宋_GB2312"/>
          <w:sz w:val="28"/>
          <w:b/>
        </w:rPr>
        <w:t>1.2林业资源数据库类知识库建设</w:t>
      </w:r>
    </w:p>
    <w:p>
      <w:pPr>
        <w:pStyle w:val="null3"/>
        <w:ind w:firstLine="480"/>
      </w:pPr>
      <w:r>
        <w:rPr>
          <w:rFonts w:ascii="仿宋_GB2312" w:hAnsi="仿宋_GB2312" w:cs="仿宋_GB2312" w:eastAsia="仿宋_GB2312"/>
          <w:sz w:val="24"/>
        </w:rPr>
        <w:t>基于林业信息共享服务平台林业综合数据库以及智慧林业</w:t>
      </w:r>
      <w:r>
        <w:rPr>
          <w:rFonts w:ascii="仿宋_GB2312" w:hAnsi="仿宋_GB2312" w:cs="仿宋_GB2312" w:eastAsia="仿宋_GB2312"/>
          <w:sz w:val="24"/>
        </w:rPr>
        <w:t>“123”工程二期国有林场数据库的建设成果，针对应用场景智能体以及智能助手应用服务建设需要，实现林业资源数据库类知识库建设，包括支撑智能应用场景智能体知识库内容处理与统计指标和统计报表类知识库处理。</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1】</w:t>
      </w:r>
      <w:r>
        <w:rPr>
          <w:rFonts w:ascii="仿宋_GB2312" w:hAnsi="仿宋_GB2312" w:cs="仿宋_GB2312" w:eastAsia="仿宋_GB2312"/>
          <w:sz w:val="24"/>
        </w:rPr>
        <w:t>（</w:t>
      </w:r>
      <w:r>
        <w:rPr>
          <w:rFonts w:ascii="仿宋_GB2312" w:hAnsi="仿宋_GB2312" w:cs="仿宋_GB2312" w:eastAsia="仿宋_GB2312"/>
          <w:sz w:val="24"/>
        </w:rPr>
        <w:t>1）明确支撑智能应用场景智能体知识库内容处理与统计指标和统计报表类知识库处理内容、数据分级分类和处理目标。</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2】</w:t>
      </w:r>
      <w:r>
        <w:rPr>
          <w:rFonts w:ascii="仿宋_GB2312" w:hAnsi="仿宋_GB2312" w:cs="仿宋_GB2312" w:eastAsia="仿宋_GB2312"/>
          <w:sz w:val="24"/>
        </w:rPr>
        <w:t>（</w:t>
      </w:r>
      <w:r>
        <w:rPr>
          <w:rFonts w:ascii="仿宋_GB2312" w:hAnsi="仿宋_GB2312" w:cs="仿宋_GB2312" w:eastAsia="仿宋_GB2312"/>
          <w:sz w:val="24"/>
        </w:rPr>
        <w:t>2）结合林业资源数据库类知识库建设内容和目标要求，详细设计知识库建设技术路线和建设流程。</w:t>
      </w:r>
    </w:p>
    <w:p>
      <w:pPr>
        <w:pStyle w:val="null3"/>
        <w:jc w:val="both"/>
      </w:pPr>
      <w:r>
        <w:rPr>
          <w:rFonts w:ascii="仿宋_GB2312" w:hAnsi="仿宋_GB2312" w:cs="仿宋_GB2312" w:eastAsia="仿宋_GB2312"/>
          <w:sz w:val="28"/>
          <w:b/>
        </w:rPr>
        <w:t>1.3文档资料类知识库建设</w:t>
      </w:r>
    </w:p>
    <w:p>
      <w:pPr>
        <w:pStyle w:val="null3"/>
        <w:ind w:firstLine="480"/>
      </w:pPr>
      <w:r>
        <w:rPr>
          <w:rFonts w:ascii="仿宋_GB2312" w:hAnsi="仿宋_GB2312" w:cs="仿宋_GB2312" w:eastAsia="仿宋_GB2312"/>
          <w:sz w:val="24"/>
        </w:rPr>
        <w:t>针对各部门和单位收集的基础知识、政策制度、报告总结、决策咨询、其他类型等资料，对业务知识进行分类整理，建立知识目录，明确业务知识所属分类标签、是否可公开、提供部门、内容概述等信息，结合智能助手和应用场景智能体建设要求，完成文档资料类知识库建设。</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3】</w:t>
      </w:r>
      <w:r>
        <w:rPr>
          <w:rFonts w:ascii="仿宋_GB2312" w:hAnsi="仿宋_GB2312" w:cs="仿宋_GB2312" w:eastAsia="仿宋_GB2312"/>
          <w:sz w:val="24"/>
        </w:rPr>
        <w:t>（</w:t>
      </w:r>
      <w:r>
        <w:rPr>
          <w:rFonts w:ascii="仿宋_GB2312" w:hAnsi="仿宋_GB2312" w:cs="仿宋_GB2312" w:eastAsia="仿宋_GB2312"/>
          <w:sz w:val="24"/>
        </w:rPr>
        <w:t>1）明确文档资料类知识库内容、数据分级分类和处理目标。</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4】</w:t>
      </w:r>
      <w:r>
        <w:rPr>
          <w:rFonts w:ascii="仿宋_GB2312" w:hAnsi="仿宋_GB2312" w:cs="仿宋_GB2312" w:eastAsia="仿宋_GB2312"/>
          <w:sz w:val="24"/>
        </w:rPr>
        <w:t>（</w:t>
      </w:r>
      <w:r>
        <w:rPr>
          <w:rFonts w:ascii="仿宋_GB2312" w:hAnsi="仿宋_GB2312" w:cs="仿宋_GB2312" w:eastAsia="仿宋_GB2312"/>
          <w:sz w:val="24"/>
        </w:rPr>
        <w:t>2）结合文档资料类知识库内容和目标要求，详细设计知识库建设技术路线和建设流程。</w:t>
      </w:r>
    </w:p>
    <w:p>
      <w:pPr>
        <w:pStyle w:val="null3"/>
        <w:jc w:val="both"/>
      </w:pPr>
      <w:r>
        <w:rPr>
          <w:rFonts w:ascii="仿宋_GB2312" w:hAnsi="仿宋_GB2312" w:cs="仿宋_GB2312" w:eastAsia="仿宋_GB2312"/>
          <w:sz w:val="28"/>
          <w:b/>
        </w:rPr>
        <w:t>1.4专家库建设</w:t>
      </w:r>
    </w:p>
    <w:p>
      <w:pPr>
        <w:pStyle w:val="null3"/>
        <w:ind w:firstLine="480"/>
      </w:pPr>
      <w:r>
        <w:rPr>
          <w:rFonts w:ascii="仿宋_GB2312" w:hAnsi="仿宋_GB2312" w:cs="仿宋_GB2312" w:eastAsia="仿宋_GB2312"/>
          <w:sz w:val="24"/>
        </w:rPr>
        <w:t>结合林业知识库建设要求，整合高校、科研院所、基层林业单位（含经营单位）领域专家构建林业知识库专家智能支撑体系，为知识库设计、内容建设、质量审核提供权威智力保障。</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1"/>
        </w:rPr>
        <w:t>【项号</w:t>
      </w:r>
      <w:r>
        <w:rPr>
          <w:rFonts w:ascii="仿宋_GB2312" w:hAnsi="仿宋_GB2312" w:cs="仿宋_GB2312" w:eastAsia="仿宋_GB2312"/>
          <w:sz w:val="21"/>
        </w:rPr>
        <w:t>5】</w:t>
      </w:r>
      <w:r>
        <w:rPr>
          <w:rFonts w:ascii="仿宋_GB2312" w:hAnsi="仿宋_GB2312" w:cs="仿宋_GB2312" w:eastAsia="仿宋_GB2312"/>
          <w:sz w:val="24"/>
        </w:rPr>
        <w:t>（</w:t>
      </w:r>
      <w:r>
        <w:rPr>
          <w:rFonts w:ascii="仿宋_GB2312" w:hAnsi="仿宋_GB2312" w:cs="仿宋_GB2312" w:eastAsia="仿宋_GB2312"/>
          <w:sz w:val="24"/>
        </w:rPr>
        <w:t>1）专家库组建。根据林业知识库内容收集情况和业务应用场景建设需求，聘用不少于10人的专家组建专家库，结合林业知识库及业务应用场景建设要求，明确专家的专业领域、覆盖范围、专家来源及数量，需提供专家库建设承诺函，承诺函需要结合知识库及业务场景建设给出专家专业领域、覆盖范围以及来源和数量。</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6】</w:t>
      </w:r>
      <w:r>
        <w:rPr>
          <w:rFonts w:ascii="仿宋_GB2312" w:hAnsi="仿宋_GB2312" w:cs="仿宋_GB2312" w:eastAsia="仿宋_GB2312"/>
          <w:sz w:val="24"/>
        </w:rPr>
        <w:t>（</w:t>
      </w:r>
      <w:r>
        <w:rPr>
          <w:rFonts w:ascii="仿宋_GB2312" w:hAnsi="仿宋_GB2312" w:cs="仿宋_GB2312" w:eastAsia="仿宋_GB2312"/>
          <w:sz w:val="24"/>
        </w:rPr>
        <w:t>2）工作内容。以项目实施流程为主线，明确专家参与知识库建设的工作环节以及工作内容。</w:t>
      </w:r>
    </w:p>
    <w:p>
      <w:pPr>
        <w:pStyle w:val="null3"/>
        <w:jc w:val="both"/>
      </w:pPr>
      <w:r>
        <w:rPr>
          <w:rFonts w:ascii="仿宋_GB2312" w:hAnsi="仿宋_GB2312" w:cs="仿宋_GB2312" w:eastAsia="仿宋_GB2312"/>
          <w:sz w:val="28"/>
          <w:b/>
        </w:rPr>
        <w:t>2.智能助手建设技术和服务要求</w:t>
      </w:r>
    </w:p>
    <w:p>
      <w:pPr>
        <w:pStyle w:val="null3"/>
        <w:ind w:firstLine="480"/>
      </w:pPr>
      <w:r>
        <w:rPr>
          <w:rFonts w:ascii="仿宋_GB2312" w:hAnsi="仿宋_GB2312" w:cs="仿宋_GB2312" w:eastAsia="仿宋_GB2312"/>
          <w:sz w:val="24"/>
        </w:rPr>
        <w:t>基于智慧林业</w:t>
      </w:r>
      <w:r>
        <w:rPr>
          <w:rFonts w:ascii="仿宋_GB2312" w:hAnsi="仿宋_GB2312" w:cs="仿宋_GB2312" w:eastAsia="仿宋_GB2312"/>
          <w:sz w:val="24"/>
        </w:rPr>
        <w:t>“123”工程建设成果，依托林业知识库与大模型支撑建立</w:t>
      </w:r>
      <w:r>
        <w:rPr>
          <w:rFonts w:ascii="仿宋_GB2312" w:hAnsi="仿宋_GB2312" w:cs="仿宋_GB2312" w:eastAsia="仿宋_GB2312"/>
          <w:sz w:val="24"/>
          <w:color w:val="FF0000"/>
        </w:rPr>
        <w:t>可独立应用的</w:t>
      </w:r>
      <w:r>
        <w:rPr>
          <w:rFonts w:ascii="仿宋_GB2312" w:hAnsi="仿宋_GB2312" w:cs="仿宋_GB2312" w:eastAsia="仿宋_GB2312"/>
          <w:sz w:val="24"/>
        </w:rPr>
        <w:t>智能助手，将智能助手整合到管理端和移动端，利用深度融合人工智能技术与行业实践经验，实现林业资源管理、国土绿化、灾害防控、产业发展、自然保护地、国有林场等各业务专业知识、业务流程、科普知识等智能化服务，快速响应关于林业各类咨询，为业务工作提供精准、高效的全流程指导，提升林业管理的科学性与可操作性，具体技术和服务要求如下：</w:t>
      </w:r>
    </w:p>
    <w:p>
      <w:pPr>
        <w:pStyle w:val="null3"/>
        <w:jc w:val="both"/>
      </w:pPr>
      <w:r>
        <w:rPr>
          <w:rFonts w:ascii="仿宋_GB2312" w:hAnsi="仿宋_GB2312" w:cs="仿宋_GB2312" w:eastAsia="仿宋_GB2312"/>
          <w:sz w:val="28"/>
          <w:b/>
        </w:rPr>
        <w:t>2.1应用集成</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7】</w:t>
      </w:r>
      <w:r>
        <w:rPr>
          <w:rFonts w:ascii="仿宋_GB2312" w:hAnsi="仿宋_GB2312" w:cs="仿宋_GB2312" w:eastAsia="仿宋_GB2312"/>
          <w:sz w:val="24"/>
        </w:rPr>
        <w:t>基于智慧林业统一用户与门户，将智能助手集成到智慧林业管理平台和移动应用，实现与</w:t>
      </w:r>
      <w:r>
        <w:rPr>
          <w:rFonts w:ascii="仿宋_GB2312" w:hAnsi="仿宋_GB2312" w:cs="仿宋_GB2312" w:eastAsia="仿宋_GB2312"/>
          <w:sz w:val="24"/>
        </w:rPr>
        <w:t>Web端和移动应用门户集成，并适配应用环境。</w:t>
      </w:r>
    </w:p>
    <w:p>
      <w:pPr>
        <w:pStyle w:val="null3"/>
        <w:jc w:val="both"/>
      </w:pPr>
      <w:r>
        <w:rPr>
          <w:rFonts w:ascii="仿宋_GB2312" w:hAnsi="仿宋_GB2312" w:cs="仿宋_GB2312" w:eastAsia="仿宋_GB2312"/>
          <w:sz w:val="28"/>
          <w:b/>
        </w:rPr>
        <w:t>2.2对话管理</w:t>
      </w:r>
    </w:p>
    <w:p>
      <w:pPr>
        <w:pStyle w:val="null3"/>
        <w:ind w:firstLine="480"/>
      </w:pPr>
      <w:r>
        <w:rPr>
          <w:rFonts w:ascii="仿宋_GB2312" w:hAnsi="仿宋_GB2312" w:cs="仿宋_GB2312" w:eastAsia="仿宋_GB2312"/>
          <w:sz w:val="24"/>
        </w:rPr>
        <w:t>基于林业知识库，实现知识助手对话信息的管理，便于查询历史对话信息和新建对话，为业务应用提供专业知识服务。</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8】</w:t>
      </w:r>
      <w:r>
        <w:rPr>
          <w:rFonts w:ascii="仿宋_GB2312" w:hAnsi="仿宋_GB2312" w:cs="仿宋_GB2312" w:eastAsia="仿宋_GB2312"/>
          <w:sz w:val="24"/>
        </w:rPr>
        <w:t>（</w:t>
      </w:r>
      <w:r>
        <w:rPr>
          <w:rFonts w:ascii="仿宋_GB2312" w:hAnsi="仿宋_GB2312" w:cs="仿宋_GB2312" w:eastAsia="仿宋_GB2312"/>
          <w:sz w:val="24"/>
        </w:rPr>
        <w:t>1）分组管理。具备会话分组管理功能，提供分组的增加、修改、删除，便于按照分组进行历史对话的组织和管理。</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9】</w:t>
      </w:r>
      <w:r>
        <w:rPr>
          <w:rFonts w:ascii="仿宋_GB2312" w:hAnsi="仿宋_GB2312" w:cs="仿宋_GB2312" w:eastAsia="仿宋_GB2312"/>
          <w:sz w:val="24"/>
        </w:rPr>
        <w:t>（</w:t>
      </w:r>
      <w:r>
        <w:rPr>
          <w:rFonts w:ascii="仿宋_GB2312" w:hAnsi="仿宋_GB2312" w:cs="仿宋_GB2312" w:eastAsia="仿宋_GB2312"/>
          <w:sz w:val="24"/>
        </w:rPr>
        <w:t>2）历史会话管理。具备历史会话管理功能，能够进行历史会话的查询、会话名称修改、分组调整、删除会话和会话信息查看。</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10】</w:t>
      </w:r>
      <w:r>
        <w:rPr>
          <w:rFonts w:ascii="仿宋_GB2312" w:hAnsi="仿宋_GB2312" w:cs="仿宋_GB2312" w:eastAsia="仿宋_GB2312"/>
          <w:sz w:val="24"/>
        </w:rPr>
        <w:t>（</w:t>
      </w:r>
      <w:r>
        <w:rPr>
          <w:rFonts w:ascii="仿宋_GB2312" w:hAnsi="仿宋_GB2312" w:cs="仿宋_GB2312" w:eastAsia="仿宋_GB2312"/>
          <w:sz w:val="24"/>
        </w:rPr>
        <w:t>3）新建会话。具备新建会话，能根据输入的问题调用平台整合的大语言模型和专业知识库，进行智能服务。</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11】</w:t>
      </w:r>
      <w:r>
        <w:rPr>
          <w:rFonts w:ascii="仿宋_GB2312" w:hAnsi="仿宋_GB2312" w:cs="仿宋_GB2312" w:eastAsia="仿宋_GB2312"/>
          <w:sz w:val="24"/>
        </w:rPr>
        <w:t>（</w:t>
      </w:r>
      <w:r>
        <w:rPr>
          <w:rFonts w:ascii="仿宋_GB2312" w:hAnsi="仿宋_GB2312" w:cs="仿宋_GB2312" w:eastAsia="仿宋_GB2312"/>
          <w:sz w:val="24"/>
        </w:rPr>
        <w:t>4）多轮对话输出。针对一个会话，可以基于AI输出的分析结果，进行持续的问题输入，智能助手可以联系上下文，持续优化响应结果。</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12】</w:t>
      </w:r>
      <w:r>
        <w:rPr>
          <w:rFonts w:ascii="仿宋_GB2312" w:hAnsi="仿宋_GB2312" w:cs="仿宋_GB2312" w:eastAsia="仿宋_GB2312"/>
          <w:sz w:val="24"/>
        </w:rPr>
        <w:t>（</w:t>
      </w:r>
      <w:r>
        <w:rPr>
          <w:rFonts w:ascii="仿宋_GB2312" w:hAnsi="仿宋_GB2312" w:cs="仿宋_GB2312" w:eastAsia="仿宋_GB2312"/>
          <w:sz w:val="24"/>
        </w:rPr>
        <w:t>5）交互过程可视化反馈。在助手处理问题时，提供交互反馈，并输出AI思考过程，增强用户体验和信赖感。</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13】</w:t>
      </w:r>
      <w:r>
        <w:rPr>
          <w:rFonts w:ascii="仿宋_GB2312" w:hAnsi="仿宋_GB2312" w:cs="仿宋_GB2312" w:eastAsia="仿宋_GB2312"/>
          <w:sz w:val="24"/>
        </w:rPr>
        <w:t>（</w:t>
      </w:r>
      <w:r>
        <w:rPr>
          <w:rFonts w:ascii="仿宋_GB2312" w:hAnsi="仿宋_GB2312" w:cs="仿宋_GB2312" w:eastAsia="仿宋_GB2312"/>
          <w:sz w:val="24"/>
        </w:rPr>
        <w:t>6）场景集成。整合应用场景智能体，实现与应用场景智能体打通，为应用场景智能化服务提供支撑。</w:t>
      </w:r>
    </w:p>
    <w:p>
      <w:pPr>
        <w:pStyle w:val="null3"/>
        <w:jc w:val="both"/>
      </w:pPr>
      <w:r>
        <w:rPr>
          <w:rFonts w:ascii="仿宋_GB2312" w:hAnsi="仿宋_GB2312" w:cs="仿宋_GB2312" w:eastAsia="仿宋_GB2312"/>
          <w:sz w:val="28"/>
          <w:b/>
        </w:rPr>
        <w:t>2.3对话日志</w:t>
      </w:r>
    </w:p>
    <w:p>
      <w:pPr>
        <w:pStyle w:val="null3"/>
        <w:ind w:firstLine="480"/>
      </w:pPr>
      <w:r>
        <w:rPr>
          <w:rFonts w:ascii="仿宋_GB2312" w:hAnsi="仿宋_GB2312" w:cs="仿宋_GB2312" w:eastAsia="仿宋_GB2312"/>
          <w:sz w:val="24"/>
        </w:rPr>
        <w:t>对话日志是智慧林业</w:t>
      </w:r>
      <w:r>
        <w:rPr>
          <w:rFonts w:ascii="仿宋_GB2312" w:hAnsi="仿宋_GB2312" w:cs="仿宋_GB2312" w:eastAsia="仿宋_GB2312"/>
          <w:sz w:val="24"/>
        </w:rPr>
        <w:t>AI智能助手的核心数据记录与分析模块，它全程追踪并结构化存储用户与AI助手之间的每一次交互。该功能不仅服务于技术调试与审计合规，更是优化林业业务服务质量、洞察林区用户需求、持续训练行业大模型的关键基础设施。</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14】</w:t>
      </w:r>
      <w:r>
        <w:rPr>
          <w:rFonts w:ascii="仿宋_GB2312" w:hAnsi="仿宋_GB2312" w:cs="仿宋_GB2312" w:eastAsia="仿宋_GB2312"/>
          <w:sz w:val="24"/>
        </w:rPr>
        <w:t>（</w:t>
      </w:r>
      <w:r>
        <w:rPr>
          <w:rFonts w:ascii="仿宋_GB2312" w:hAnsi="仿宋_GB2312" w:cs="仿宋_GB2312" w:eastAsia="仿宋_GB2312"/>
          <w:sz w:val="24"/>
        </w:rPr>
        <w:t>1）全链路日志记录。系统会自动化记录交互过程中的所有关键数据点，确保信息的完整性与可追溯性。</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15】</w:t>
      </w:r>
      <w:r>
        <w:rPr>
          <w:rFonts w:ascii="仿宋_GB2312" w:hAnsi="仿宋_GB2312" w:cs="仿宋_GB2312" w:eastAsia="仿宋_GB2312"/>
          <w:sz w:val="24"/>
        </w:rPr>
        <w:t>（</w:t>
      </w:r>
      <w:r>
        <w:rPr>
          <w:rFonts w:ascii="仿宋_GB2312" w:hAnsi="仿宋_GB2312" w:cs="仿宋_GB2312" w:eastAsia="仿宋_GB2312"/>
          <w:sz w:val="24"/>
        </w:rPr>
        <w:t>2）会话管理与检索。提供会话管理能力，方便用户与管理员对历史对话进行组织与回溯，包括分组管理、历史会话查询、智能统计分析。</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16】</w:t>
      </w:r>
      <w:r>
        <w:rPr>
          <w:rFonts w:ascii="仿宋_GB2312" w:hAnsi="仿宋_GB2312" w:cs="仿宋_GB2312" w:eastAsia="仿宋_GB2312"/>
          <w:sz w:val="24"/>
        </w:rPr>
        <w:t>（</w:t>
      </w:r>
      <w:r>
        <w:rPr>
          <w:rFonts w:ascii="仿宋_GB2312" w:hAnsi="仿宋_GB2312" w:cs="仿宋_GB2312" w:eastAsia="仿宋_GB2312"/>
          <w:sz w:val="24"/>
        </w:rPr>
        <w:t>3）意见反馈。针对智能助手、应用场景智能体，面向用户提供一个双向沟通渠道，即时收集用户的问题反馈、知识需求、业务需求以及建议，从而进一步优化完善知识库和提升业务应用场景服务能力，包括意见反馈、意见中心和意见管理。</w:t>
      </w:r>
    </w:p>
    <w:p>
      <w:pPr>
        <w:pStyle w:val="null3"/>
        <w:jc w:val="both"/>
      </w:pPr>
      <w:r>
        <w:rPr>
          <w:rFonts w:ascii="仿宋_GB2312" w:hAnsi="仿宋_GB2312" w:cs="仿宋_GB2312" w:eastAsia="仿宋_GB2312"/>
          <w:sz w:val="28"/>
          <w:b/>
        </w:rPr>
        <w:t>3.应用场景智能体建设技术和服务要求</w:t>
      </w:r>
    </w:p>
    <w:p>
      <w:pPr>
        <w:pStyle w:val="null3"/>
        <w:jc w:val="both"/>
      </w:pPr>
      <w:r>
        <w:rPr>
          <w:rFonts w:ascii="仿宋_GB2312" w:hAnsi="仿宋_GB2312" w:cs="仿宋_GB2312" w:eastAsia="仿宋_GB2312"/>
          <w:sz w:val="28"/>
          <w:b/>
        </w:rPr>
        <w:t>3.1统计分析智能体</w:t>
      </w:r>
    </w:p>
    <w:p>
      <w:pPr>
        <w:pStyle w:val="null3"/>
        <w:ind w:firstLine="480"/>
      </w:pPr>
      <w:r>
        <w:rPr>
          <w:rFonts w:ascii="仿宋_GB2312" w:hAnsi="仿宋_GB2312" w:cs="仿宋_GB2312" w:eastAsia="仿宋_GB2312"/>
          <w:sz w:val="24"/>
        </w:rPr>
        <w:t>面向各级林业主管部门、经营单位的管理人员与业务人员，基于林业信息共享服务平台数据治理成果与大语言模型，建立智能统计分析模型，通过</w:t>
      </w:r>
      <w:r>
        <w:rPr>
          <w:rFonts w:ascii="仿宋_GB2312" w:hAnsi="仿宋_GB2312" w:cs="仿宋_GB2312" w:eastAsia="仿宋_GB2312"/>
          <w:sz w:val="24"/>
        </w:rPr>
        <w:t>AI驱动的自然语言交互方式，实现森林资源、行业管理、行政审批、森林保护等相关的数据、统计指标和统计报表等内容的统计分析与可视化图表的智能化生成，让不具备专业SQL和统计学知识的业务和管理人员通过交互式对话，轻松完成复杂业务数据查询、多维度统计、趋势分析和深度数据洞察，提升林业数据价值挖掘与决策支持能力，具体技术和服务要求如下：</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17】</w:t>
      </w:r>
      <w:r>
        <w:rPr>
          <w:rFonts w:ascii="仿宋_GB2312" w:hAnsi="仿宋_GB2312" w:cs="仿宋_GB2312" w:eastAsia="仿宋_GB2312"/>
          <w:sz w:val="24"/>
        </w:rPr>
        <w:t>（</w:t>
      </w:r>
      <w:r>
        <w:rPr>
          <w:rFonts w:ascii="仿宋_GB2312" w:hAnsi="仿宋_GB2312" w:cs="仿宋_GB2312" w:eastAsia="仿宋_GB2312"/>
          <w:sz w:val="24"/>
        </w:rPr>
        <w:t>1）类别选择。依托林业信息共享服务平台数据治理成果的分类体系，建立智能化的统计分析类别导航机制，根据数据治理形成的森林资源、行业管理、行政审批、森林保护四大核心类别，构建分层分类的统计分析入口。通过历史查询日志分析，由AI总结各类别下的常用、高频统计分析需求，经管理员确认后形成各类别的常用、高频统计分析提示词，为快速统计分析提供服务支撑，为业务管理和决策提供信息服务。</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18】</w:t>
      </w:r>
      <w:r>
        <w:rPr>
          <w:rFonts w:ascii="仿宋_GB2312" w:hAnsi="仿宋_GB2312" w:cs="仿宋_GB2312" w:eastAsia="仿宋_GB2312"/>
          <w:sz w:val="24"/>
        </w:rPr>
        <w:t>（</w:t>
      </w:r>
      <w:r>
        <w:rPr>
          <w:rFonts w:ascii="仿宋_GB2312" w:hAnsi="仿宋_GB2312" w:cs="仿宋_GB2312" w:eastAsia="仿宋_GB2312"/>
          <w:sz w:val="24"/>
        </w:rPr>
        <w:t>2）统计分析。根据提示词，结合业务应用需要，进行统计分析查询指标的输出，并自动进行统计图表的分析与成果可视化。支持问题解析，利用大语言模型的自然语言理解能力；支持查询接口调度，根据问题解析结果，调度查询智能体自动匹配最优统计分析接口，基于需要的查询分类与指标种类，实现对数据获取和按需的统计分析，数据内容查询与总结采用异步和队列方式处理保障系统稳定性，满足多人使用需要，具备智能查询、多维度统计分析、趋势识别分析、深度洞察与归因分析；支持结果输出，基于统计分析结果，利用智能体和大语言模型，实现结果的输出，利用数据元数据知识库以及语义增强内容，包括文字总结生成和可视化呈现。</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19】</w:t>
      </w:r>
      <w:r>
        <w:rPr>
          <w:rFonts w:ascii="仿宋_GB2312" w:hAnsi="仿宋_GB2312" w:cs="仿宋_GB2312" w:eastAsia="仿宋_GB2312"/>
          <w:sz w:val="24"/>
        </w:rPr>
        <w:t>（</w:t>
      </w:r>
      <w:r>
        <w:rPr>
          <w:rFonts w:ascii="仿宋_GB2312" w:hAnsi="仿宋_GB2312" w:cs="仿宋_GB2312" w:eastAsia="仿宋_GB2312"/>
          <w:sz w:val="24"/>
        </w:rPr>
        <w:t>3）成果输出。支撑统计分析成果的导出，包括：支持导出文字或图表形式的分析结果输出PDF或图片；支持导出表格形式的数据统计内容。</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20】</w:t>
      </w:r>
      <w:r>
        <w:rPr>
          <w:rFonts w:ascii="仿宋_GB2312" w:hAnsi="仿宋_GB2312" w:cs="仿宋_GB2312" w:eastAsia="仿宋_GB2312"/>
          <w:sz w:val="24"/>
        </w:rPr>
        <w:t>（</w:t>
      </w:r>
      <w:r>
        <w:rPr>
          <w:rFonts w:ascii="仿宋_GB2312" w:hAnsi="仿宋_GB2312" w:cs="仿宋_GB2312" w:eastAsia="仿宋_GB2312"/>
          <w:sz w:val="24"/>
        </w:rPr>
        <w:t>4）统计历史与收藏。自动保存统计分析历史信息，支持统计分析历史的回溯与复用，可以将统计分析收藏保存成公用模板，为其他用户应用提供服务支撑。</w:t>
      </w:r>
    </w:p>
    <w:p>
      <w:pPr>
        <w:pStyle w:val="null3"/>
        <w:jc w:val="both"/>
      </w:pPr>
      <w:r>
        <w:rPr>
          <w:rFonts w:ascii="仿宋_GB2312" w:hAnsi="仿宋_GB2312" w:cs="仿宋_GB2312" w:eastAsia="仿宋_GB2312"/>
          <w:sz w:val="28"/>
          <w:b/>
        </w:rPr>
        <w:t>3.2建设项目使用林地辅助智能分析</w:t>
      </w:r>
    </w:p>
    <w:p>
      <w:pPr>
        <w:pStyle w:val="null3"/>
        <w:ind w:firstLine="480"/>
      </w:pPr>
      <w:r>
        <w:rPr>
          <w:rFonts w:ascii="仿宋_GB2312" w:hAnsi="仿宋_GB2312" w:cs="仿宋_GB2312" w:eastAsia="仿宋_GB2312"/>
          <w:sz w:val="24"/>
        </w:rPr>
        <w:t>面向各级林业主管部门、经营单位的林地管理人员、审核审批人员、业务人员与科研编制人员等，基于林地保护利用规划、生态区位、自然保护地、古树名木、基干林带、森林资源等数据，结合建设项目使用林地审核审批相关法律法规、标准规范、审核规则以及行业经验等知识库，建立建设项目使用林地辅助智能分析服务，实现使用林地情况智能分析，为建设项目使用林地可研编制和审批提供服务支撑，具体技术和服务要求如下：</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21】</w:t>
      </w:r>
      <w:r>
        <w:rPr>
          <w:rFonts w:ascii="仿宋_GB2312" w:hAnsi="仿宋_GB2312" w:cs="仿宋_GB2312" w:eastAsia="仿宋_GB2312"/>
          <w:sz w:val="24"/>
        </w:rPr>
        <w:t>（</w:t>
      </w:r>
      <w:r>
        <w:rPr>
          <w:rFonts w:ascii="仿宋_GB2312" w:hAnsi="仿宋_GB2312" w:cs="仿宋_GB2312" w:eastAsia="仿宋_GB2312"/>
          <w:sz w:val="24"/>
        </w:rPr>
        <w:t>1）项目红线管理。具备建设项目红线导入功能，导入时自动进行红线边界闭合性、自相交和有效性检查，同时也支持区划范围或筛选的小班进行红线范围确认。</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22】</w:t>
      </w:r>
      <w:r>
        <w:rPr>
          <w:rFonts w:ascii="仿宋_GB2312" w:hAnsi="仿宋_GB2312" w:cs="仿宋_GB2312" w:eastAsia="仿宋_GB2312"/>
          <w:sz w:val="24"/>
        </w:rPr>
        <w:t>（</w:t>
      </w:r>
      <w:r>
        <w:rPr>
          <w:rFonts w:ascii="仿宋_GB2312" w:hAnsi="仿宋_GB2312" w:cs="仿宋_GB2312" w:eastAsia="仿宋_GB2312"/>
          <w:sz w:val="24"/>
        </w:rPr>
        <w:t>2）林地辅助分析。基于林地使用申请类型、资源占用情况，结合建设项目使用林地审核审批技术规程，实现林地辅助分析，形成辅助分析成果报告，为林地可研编制和审批提供信息服务。支持空间数据合规性分析，在红线导入后智能调用空间分析算法，基于GIS空间查询分类关联的资源数据，分析占用的不同林地类型、不同林地保护等级、不同林种（公益林、商品林)以及不同林权权属的占用面积、分布情况等重要因子和空间分布信息，并智能识别红线区域的自然保护区、风景名胜区、森林公园、湿地公园、生态红线、水源保护区、基干林带等生态敏感区并进行空间分析和面积计算；支持规则审核分析，依据建设项目使用林地审核审批相关的政策法规要求，实现建设项目使用林地的自动化合规性辅助分析，包括审核内容、审核规则、对比情况、审核结果，并生成文字形式的使用林地现状分析总结，智能化输出问题清单与整改建议，可以导出或复制作为报告素材使用；支持植被恢复费测算，基于福建省植被恢复费测算标准，根据使用林地情况进行植被恢复费测算；支持结论输出，基于规则审核结果以及审核详表情况，实现林地分析结论的输出，对林地使用情况进行概括总结，并给出相关的分析结论，包括文字总结生成、可视化呈现、审核结果详表，审核详表包括林地实际因子表以及规则符合或冲突因子信息。</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23】</w:t>
      </w:r>
      <w:r>
        <w:rPr>
          <w:rFonts w:ascii="仿宋_GB2312" w:hAnsi="仿宋_GB2312" w:cs="仿宋_GB2312" w:eastAsia="仿宋_GB2312"/>
          <w:sz w:val="24"/>
        </w:rPr>
        <w:t>（</w:t>
      </w:r>
      <w:r>
        <w:rPr>
          <w:rFonts w:ascii="仿宋_GB2312" w:hAnsi="仿宋_GB2312" w:cs="仿宋_GB2312" w:eastAsia="仿宋_GB2312"/>
          <w:sz w:val="24"/>
        </w:rPr>
        <w:t>3）成果输出。利用大语言模型与审核审批规则库，自动生成结构化与自然语言结合的分析结论，支撑分析报告成果的导出。</w:t>
      </w:r>
    </w:p>
    <w:p>
      <w:pPr>
        <w:pStyle w:val="null3"/>
        <w:jc w:val="both"/>
      </w:pPr>
      <w:r>
        <w:rPr>
          <w:rFonts w:ascii="仿宋_GB2312" w:hAnsi="仿宋_GB2312" w:cs="仿宋_GB2312" w:eastAsia="仿宋_GB2312"/>
          <w:sz w:val="28"/>
          <w:b/>
        </w:rPr>
        <w:t>3.3林木采伐规划智能分析</w:t>
      </w:r>
    </w:p>
    <w:p>
      <w:pPr>
        <w:pStyle w:val="null3"/>
        <w:ind w:firstLine="480"/>
      </w:pPr>
      <w:r>
        <w:rPr>
          <w:rFonts w:ascii="仿宋_GB2312" w:hAnsi="仿宋_GB2312" w:cs="仿宋_GB2312" w:eastAsia="仿宋_GB2312"/>
          <w:sz w:val="24"/>
        </w:rPr>
        <w:t>面向各级林业主管部门、经营单位的森林资源管理人员、业务人员、作业设计人员等，基于森林资源数据，提供林木采伐智能规划分析服务，将林业法规、技术规程和专家经验转化为可计算、可执行的逻辑，实现林木采伐规划分析，自动生成科学、合规的采伐方式与强度建议方案，为区域采伐限额编制以及采伐规划提供服务支撑，具体技术和服务要求如下：</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24】</w:t>
      </w:r>
      <w:r>
        <w:rPr>
          <w:rFonts w:ascii="仿宋_GB2312" w:hAnsi="仿宋_GB2312" w:cs="仿宋_GB2312" w:eastAsia="仿宋_GB2312"/>
          <w:sz w:val="24"/>
        </w:rPr>
        <w:t>（</w:t>
      </w:r>
      <w:r>
        <w:rPr>
          <w:rFonts w:ascii="仿宋_GB2312" w:hAnsi="仿宋_GB2312" w:cs="仿宋_GB2312" w:eastAsia="仿宋_GB2312"/>
          <w:sz w:val="24"/>
        </w:rPr>
        <w:t>1）范围确认。具备范围附件导入功能，根据导入的范围自动进行森林资源小班分析筛选，也支持按照政区进行森林资源小班的筛选。</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25】</w:t>
      </w:r>
      <w:r>
        <w:rPr>
          <w:rFonts w:ascii="仿宋_GB2312" w:hAnsi="仿宋_GB2312" w:cs="仿宋_GB2312" w:eastAsia="仿宋_GB2312"/>
          <w:sz w:val="24"/>
        </w:rPr>
        <w:t>（</w:t>
      </w:r>
      <w:r>
        <w:rPr>
          <w:rFonts w:ascii="仿宋_GB2312" w:hAnsi="仿宋_GB2312" w:cs="仿宋_GB2312" w:eastAsia="仿宋_GB2312"/>
          <w:sz w:val="24"/>
        </w:rPr>
        <w:t>2）可采伐资源分析。根据经营目标，基于森林资源小班森林类别、立地因子、林分结构等信息，结合知识库典型知识以及分析模板，进行适宜采伐类型和采伐方式的分析，并以统计图、统计表以及详表形式输出，为进一步应用提供信息服务。支持采伐小班智能推荐，根据经营目标以及资源小班基础信息，基于知识库采伐类型适配规则，智能推荐小班最适合的采伐类型，明确各类型的适宜条件，输出小班列表；支持采伐方式与强度建议，根据小班的采伐类型、林分特征结合知识库的典型经验，给出采伐方式以及采伐强度的分析和建议；支持统计分析，基于智能分析结果，利用智能体和大语言模型，实现统计分析成果输出，利用数据元数据知识库以及语义增强内容，具体包括：文字总结生成、可视化图表呈现和小班详表输出（包含基础信息、采伐类型、采伐方式以及采伐强度）。</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26】</w:t>
      </w:r>
      <w:r>
        <w:rPr>
          <w:rFonts w:ascii="仿宋_GB2312" w:hAnsi="仿宋_GB2312" w:cs="仿宋_GB2312" w:eastAsia="仿宋_GB2312"/>
          <w:sz w:val="24"/>
        </w:rPr>
        <w:t>（</w:t>
      </w:r>
      <w:r>
        <w:rPr>
          <w:rFonts w:ascii="仿宋_GB2312" w:hAnsi="仿宋_GB2312" w:cs="仿宋_GB2312" w:eastAsia="仿宋_GB2312"/>
          <w:sz w:val="24"/>
        </w:rPr>
        <w:t>3）成果输出。支持分析成果的导出，为采伐限额编制、采伐规划以及作业设计编制提供信息服务。</w:t>
      </w:r>
    </w:p>
    <w:p>
      <w:pPr>
        <w:pStyle w:val="null3"/>
        <w:jc w:val="both"/>
      </w:pPr>
      <w:r>
        <w:rPr>
          <w:rFonts w:ascii="仿宋_GB2312" w:hAnsi="仿宋_GB2312" w:cs="仿宋_GB2312" w:eastAsia="仿宋_GB2312"/>
          <w:sz w:val="28"/>
          <w:b/>
        </w:rPr>
        <w:t>3.4营造林智能分析</w:t>
      </w:r>
    </w:p>
    <w:p>
      <w:pPr>
        <w:pStyle w:val="null3"/>
        <w:ind w:firstLine="480"/>
      </w:pPr>
      <w:r>
        <w:rPr>
          <w:rFonts w:ascii="仿宋_GB2312" w:hAnsi="仿宋_GB2312" w:cs="仿宋_GB2312" w:eastAsia="仿宋_GB2312"/>
          <w:sz w:val="24"/>
        </w:rPr>
        <w:t>面向各级林业主管部门、经营单位的营造林管理人员、业务人员、作业设计人员等，基于森林资源数据，结合营造林作业设计技术规范、典型造林经验知识以及主要树种造林规程等知识，提供营造林智能分析服务，实现营造林作业区造林树种、造林模式、作业设计分析，为营造林作业设计编制提供科学服务支撑，具体技术和服务要求如下：</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27】</w:t>
      </w:r>
      <w:r>
        <w:rPr>
          <w:rFonts w:ascii="仿宋_GB2312" w:hAnsi="仿宋_GB2312" w:cs="仿宋_GB2312" w:eastAsia="仿宋_GB2312"/>
          <w:sz w:val="24"/>
        </w:rPr>
        <w:t>（</w:t>
      </w:r>
      <w:r>
        <w:rPr>
          <w:rFonts w:ascii="仿宋_GB2312" w:hAnsi="仿宋_GB2312" w:cs="仿宋_GB2312" w:eastAsia="仿宋_GB2312"/>
          <w:sz w:val="24"/>
        </w:rPr>
        <w:t>1）营造林范围确认。具备营造林范围附件导入功能，根据导入的营造林范围自动进行森林资源小班分析筛选，也支持按照政区、林班、小班进行森林资源小班的筛选。</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28】</w:t>
      </w:r>
      <w:r>
        <w:rPr>
          <w:rFonts w:ascii="仿宋_GB2312" w:hAnsi="仿宋_GB2312" w:cs="仿宋_GB2312" w:eastAsia="仿宋_GB2312"/>
          <w:sz w:val="24"/>
        </w:rPr>
        <w:t>（</w:t>
      </w:r>
      <w:r>
        <w:rPr>
          <w:rFonts w:ascii="仿宋_GB2312" w:hAnsi="仿宋_GB2312" w:cs="仿宋_GB2312" w:eastAsia="仿宋_GB2312"/>
          <w:sz w:val="24"/>
        </w:rPr>
        <w:t>2）营造林分析。基于森林资源小班政区、立地因子、气候条件等信息，结合知识库典型知识以及分析模板，进行造林树种、造林模式、作业方案成果分析，实现合理评估、专家知识复用和效率提升。支持地块智能选择，集成林地林木审批数据和经营档案数据，基于森林资源小班信息、立地因子条件、区域气候条件以及专家经验知识，建立规则引擎，智能分析识别可造林地块，形成可造林地块详表；支持树种智能分析，基于福建省主要树种的详细知识库，参考树种的生态适应性、经营特性、生态功能，并根据目标地块的立体条件、典型案例以及与营林目标进行适地适树智能匹配；支持造林模式智能化生成，根据树种以及福建省典型案例，自动进行造林模式分析，包括混交比、初植密度、结构配置等；支持作业方案分析，根据地块条件、智能筛选适宜树种和造林模式，并按照适宜程度进行排序推介，结合典型案例知识库，实现作业方案分析并结合知识库给出理由，包括整地方式、苗木规格、抚育措施等；支持结果输出，基于统计分析结果，利用智能体和大语言模型，实现结果的输出，利用数据元数据知识库以及语义增强内容，具体包括：文字总结生成、可视化图表呈现、造林详表输出。</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29】</w:t>
      </w:r>
      <w:r>
        <w:rPr>
          <w:rFonts w:ascii="仿宋_GB2312" w:hAnsi="仿宋_GB2312" w:cs="仿宋_GB2312" w:eastAsia="仿宋_GB2312"/>
          <w:sz w:val="24"/>
        </w:rPr>
        <w:t>（</w:t>
      </w:r>
      <w:r>
        <w:rPr>
          <w:rFonts w:ascii="仿宋_GB2312" w:hAnsi="仿宋_GB2312" w:cs="仿宋_GB2312" w:eastAsia="仿宋_GB2312"/>
          <w:sz w:val="24"/>
        </w:rPr>
        <w:t>3）成果输出。支持分析成果的导出，为作业设计编制提供信息服务。</w:t>
      </w:r>
    </w:p>
    <w:p>
      <w:pPr>
        <w:pStyle w:val="null3"/>
        <w:jc w:val="both"/>
      </w:pPr>
      <w:r>
        <w:rPr>
          <w:rFonts w:ascii="仿宋_GB2312" w:hAnsi="仿宋_GB2312" w:cs="仿宋_GB2312" w:eastAsia="仿宋_GB2312"/>
          <w:sz w:val="28"/>
          <w:b/>
        </w:rPr>
        <w:t>3.5松材线虫病防治智能分析</w:t>
      </w:r>
    </w:p>
    <w:p>
      <w:pPr>
        <w:pStyle w:val="null3"/>
        <w:ind w:firstLine="480"/>
      </w:pPr>
      <w:r>
        <w:rPr>
          <w:rFonts w:ascii="仿宋_GB2312" w:hAnsi="仿宋_GB2312" w:cs="仿宋_GB2312" w:eastAsia="仿宋_GB2312"/>
          <w:sz w:val="24"/>
        </w:rPr>
        <w:t>面向各级林业主管部门、经营单位的林业有害生物防控部门的管理人员、业务人员，基于松材线虫病防治方案知识库，提供松材线虫病防治分析服务，结合松材线虫病灾情发生情况以及短期灾害预测信息，进行应急性防治方案和预防性防治方案辅助分析，为科学防治提供服务支撑，具体技术和服务要求如下：</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30】</w:t>
      </w:r>
      <w:r>
        <w:rPr>
          <w:rFonts w:ascii="仿宋_GB2312" w:hAnsi="仿宋_GB2312" w:cs="仿宋_GB2312" w:eastAsia="仿宋_GB2312"/>
          <w:sz w:val="24"/>
        </w:rPr>
        <w:t>（</w:t>
      </w:r>
      <w:r>
        <w:rPr>
          <w:rFonts w:ascii="仿宋_GB2312" w:hAnsi="仿宋_GB2312" w:cs="仿宋_GB2312" w:eastAsia="仿宋_GB2312"/>
          <w:sz w:val="24"/>
        </w:rPr>
        <w:t>1）灾害情况获取。实现松材线虫病发生或短期灾害预测范围、灾害情况的输入。支持范围导入，具备松材线虫病发生范围或短期灾害预测范围附件导入功能；支持灾害情况输入，具备松材线虫病防治发生或短期灾害信息输入，包括发生时间、面积、株数等信息；支持林业无人机应用系统对接，具备与林业无人机应用系统对接功能，能够获取松材线虫病灾害发生范围、有害生物种类等信息。</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31】</w:t>
      </w:r>
      <w:r>
        <w:rPr>
          <w:rFonts w:ascii="仿宋_GB2312" w:hAnsi="仿宋_GB2312" w:cs="仿宋_GB2312" w:eastAsia="仿宋_GB2312"/>
          <w:sz w:val="24"/>
        </w:rPr>
        <w:t>（</w:t>
      </w:r>
      <w:r>
        <w:rPr>
          <w:rFonts w:ascii="仿宋_GB2312" w:hAnsi="仿宋_GB2312" w:cs="仿宋_GB2312" w:eastAsia="仿宋_GB2312"/>
          <w:sz w:val="24"/>
        </w:rPr>
        <w:t>2）防治方案分析。基于松材线虫病发生情况，参考已有知识和典型防治方案模板，进行防治方案的输出。支持预防性防治方案推荐，根据松材线虫病短期预测信息，实现预防性防治方案核心内容的输出；支持应急性防治方案推荐，根据松材线虫病发生信息，实现应急性防治方案核心内容的输出，包括：物理防治、化学防治、生物防治、疫木除治等内容。</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32】</w:t>
      </w:r>
      <w:r>
        <w:rPr>
          <w:rFonts w:ascii="仿宋_GB2312" w:hAnsi="仿宋_GB2312" w:cs="仿宋_GB2312" w:eastAsia="仿宋_GB2312"/>
          <w:sz w:val="24"/>
        </w:rPr>
        <w:t>（</w:t>
      </w:r>
      <w:r>
        <w:rPr>
          <w:rFonts w:ascii="仿宋_GB2312" w:hAnsi="仿宋_GB2312" w:cs="仿宋_GB2312" w:eastAsia="仿宋_GB2312"/>
          <w:sz w:val="24"/>
        </w:rPr>
        <w:t>3）成果输出。支持分析成果的导出，为防治方案编制提供信息服务。</w:t>
      </w:r>
    </w:p>
    <w:p>
      <w:pPr>
        <w:pStyle w:val="null3"/>
        <w:jc w:val="both"/>
      </w:pPr>
      <w:r>
        <w:rPr>
          <w:rFonts w:ascii="仿宋_GB2312" w:hAnsi="仿宋_GB2312" w:cs="仿宋_GB2312" w:eastAsia="仿宋_GB2312"/>
          <w:sz w:val="28"/>
          <w:b/>
        </w:rPr>
        <w:t>3.6国有林场可持续经营智能分析</w:t>
      </w:r>
    </w:p>
    <w:p>
      <w:pPr>
        <w:pStyle w:val="null3"/>
        <w:ind w:firstLine="480"/>
      </w:pPr>
      <w:r>
        <w:rPr>
          <w:rFonts w:ascii="仿宋_GB2312" w:hAnsi="仿宋_GB2312" w:cs="仿宋_GB2312" w:eastAsia="仿宋_GB2312"/>
          <w:sz w:val="24"/>
        </w:rPr>
        <w:t>面向各级国有林场管理部门以及国有林场的管理人员、业务人员，基于国有林场知识库、国有林场数据汇聚完善成果，提供国有林场可持续经营智能分析服务，集成到基于智慧林业二期林场综合管理系统，实现林场资源管理、经营管理、产业发展等信息的智能化查询、分析与可视化服务，通过智能体服务，提升决策效率，优化资源配置，助力林场可持续发展，具体技术和服务要求如下：</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1）森林经营方案辅助分析</w:t>
      </w:r>
    </w:p>
    <w:p>
      <w:pPr>
        <w:pStyle w:val="null3"/>
        <w:ind w:firstLine="480"/>
      </w:pPr>
      <w:r>
        <w:rPr>
          <w:rFonts w:ascii="仿宋_GB2312" w:hAnsi="仿宋_GB2312" w:cs="仿宋_GB2312" w:eastAsia="仿宋_GB2312"/>
          <w:sz w:val="24"/>
        </w:rPr>
        <w:t>根据选择的林场以及经营范围，基于森林经营方案、森林经营数据、森林经营方案编制技术规程、森林资源数据等信息，实现国有林场森林经营方案辅助分析。</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33】</w:t>
      </w:r>
      <w:r>
        <w:rPr>
          <w:rFonts w:ascii="仿宋_GB2312" w:hAnsi="仿宋_GB2312" w:cs="仿宋_GB2312" w:eastAsia="仿宋_GB2312"/>
          <w:sz w:val="24"/>
        </w:rPr>
        <w:t>①森林经营目标分析。基于林场森林资源本底数据、上一个经理期森林经营数据，利用典型森林经营方案知识库，进行本期森林经营目标的规划分析，包括前五年和后五年，并进行森林指标、森林经营、森林保护、森林经营基础设施维护等目标的总结分析，为森林经营目标编制提供参考依据。</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34】</w:t>
      </w:r>
      <w:r>
        <w:rPr>
          <w:rFonts w:ascii="仿宋_GB2312" w:hAnsi="仿宋_GB2312" w:cs="仿宋_GB2312" w:eastAsia="仿宋_GB2312"/>
          <w:sz w:val="24"/>
        </w:rPr>
        <w:t>②森林经营区划与布局分析。基于林场经营范围、工区范围、森林资源本底数据、上一经理期森林经营数据，依据《全国森林资源经营管理分区施策导则》和典型分区知识库，实现森林功能区区划、森林分类区划、森林管理类型区划分析，并按照工区和区划类型进行统计数据输出。</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35】</w:t>
      </w:r>
      <w:r>
        <w:rPr>
          <w:rFonts w:ascii="仿宋_GB2312" w:hAnsi="仿宋_GB2312" w:cs="仿宋_GB2312" w:eastAsia="仿宋_GB2312"/>
          <w:sz w:val="24"/>
        </w:rPr>
        <w:t>③森林采伐利用规划分析。基于森林资源本底数据、上期森林经营规划数据、上一个经理期森林经营数据，结合典型森林经营知识库，进行森林采伐利用分析，主要包括：轮伐期确认、采伐量测算、森林消耗量测算、生长量测算、采伐限额指标分析。</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36】</w:t>
      </w:r>
      <w:r>
        <w:rPr>
          <w:rFonts w:ascii="仿宋_GB2312" w:hAnsi="仿宋_GB2312" w:cs="仿宋_GB2312" w:eastAsia="仿宋_GB2312"/>
          <w:sz w:val="24"/>
        </w:rPr>
        <w:t>④森林培育规划分析。基于森林资源本底数据、上期森林经营规划数据、上一个经理期森林经营数据，结合典型森林经营知识库，进行森林培育规划分析，主要包括：更新造林、森林抚育、大径材培育、珍贵树种培育。</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37】</w:t>
      </w:r>
      <w:r>
        <w:rPr>
          <w:rFonts w:ascii="仿宋_GB2312" w:hAnsi="仿宋_GB2312" w:cs="仿宋_GB2312" w:eastAsia="仿宋_GB2312"/>
          <w:sz w:val="24"/>
        </w:rPr>
        <w:t>⑤结果输出。基于规划分析结果，利用智能体和大语言模型，实现森林经营目标、森林经营区划与布局、森林采伐利用、森林培育规划分析结果的输出，利用数据元数据知识库以及语义增强内容，具体包括：文字总结生成、可视化呈现。</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2）智能查询服务</w:t>
      </w:r>
    </w:p>
    <w:p>
      <w:pPr>
        <w:pStyle w:val="null3"/>
        <w:ind w:firstLine="480"/>
      </w:pPr>
      <w:r>
        <w:rPr>
          <w:rFonts w:ascii="仿宋_GB2312" w:hAnsi="仿宋_GB2312" w:cs="仿宋_GB2312" w:eastAsia="仿宋_GB2312"/>
          <w:sz w:val="24"/>
        </w:rPr>
        <w:t>基于国有林场资源数据、经营数据、产业数据，实现国有林场信息智能查询，包括：资源查询、经营查询以及产业信息查询，支持查询结果的信息输出。</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38】</w:t>
      </w:r>
      <w:r>
        <w:rPr>
          <w:rFonts w:ascii="仿宋_GB2312" w:hAnsi="仿宋_GB2312" w:cs="仿宋_GB2312" w:eastAsia="仿宋_GB2312"/>
          <w:sz w:val="24"/>
        </w:rPr>
        <w:t>①资源查询。实现国有林场森林资源、木储基地、特殊林木资源、生态林资源管理、天然林资源、基础设施信息等资源智能查询，能够根据位置、类别快速查询到相关资源详细信息，同时能够根据资源类型以及相关知识库情况给出相关知识服务，为资源管理、建设提供信息服务。支持森林资源全周期智能服务，查询森林资源经营情况以及详细经营档案信息，并能根据森林资源情况以及经营情况给出智能推荐，为森林资源经营水平提升提供参考；支持木储基地智能服务，查询木储基地建设和变更情况，结合木储基地建设情况，利用知识库给出合理化建议；支持特殊林木资源智能服务，查询特殊林木资源信息，并结合特殊林木资源的生态、服务价值知识库进行资源服务能力分析；支持生态林资源智能服务，查询生态林资源信息，并能给出生态林补充、管护以及利用相关信息服务推荐；支持天然林资源智能服务，查询天然林资源信息，并能给出天然林补充、管护以及利用相关信息服务推荐；支持基础设施信息智能服务，查询基础设施信息，并能根据基础设施类别进行服务能力信息分析。</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39】</w:t>
      </w:r>
      <w:r>
        <w:rPr>
          <w:rFonts w:ascii="仿宋_GB2312" w:hAnsi="仿宋_GB2312" w:cs="仿宋_GB2312" w:eastAsia="仿宋_GB2312"/>
          <w:sz w:val="24"/>
        </w:rPr>
        <w:t>②经营查询。实现国有林场林木种苗、营造林、林木采伐、林地征占用、多种经营等经营信息智能查询，能够根据位置、类别快速查询到资源情况，同时能够根据经营类型以及相关知识库情况给出相关知识服务，为生产经营提供智能服务。支持林木种苗智能服务，查询林木种苗基地建设及种苗培育相关信息，并结合种苗生产经营情况和经营过程给出种苗生产经营合理化建议；支持营造林智能服务，查询营造林生产经营信息，并结合营造林生产经营情况和经营过程给出生产经营合理化建议；支持林木采伐智能服务，查询林木采伐信息，并结合林木采伐生产经营情况和经营过程给出生产经营合理化建议；支持林地征占用智能服务，查询林地征占用信息，根据林地地块以及审核审批规则给出智能审批相关结果信息；支持多种经营智能服务，查询多种经营信息，根据多种经营情况及经营过程给出生产经营合理化建议；支持森林旅游智能服务，查询森林公园、康养基地以及服务能力，提升国有林场社会化服务能力。</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3）智能统计服务</w:t>
      </w:r>
    </w:p>
    <w:p>
      <w:pPr>
        <w:pStyle w:val="null3"/>
        <w:ind w:firstLine="480"/>
      </w:pPr>
      <w:r>
        <w:rPr>
          <w:rFonts w:ascii="仿宋_GB2312" w:hAnsi="仿宋_GB2312" w:cs="仿宋_GB2312" w:eastAsia="仿宋_GB2312"/>
          <w:sz w:val="24"/>
        </w:rPr>
        <w:t>实现资源管理、经营管理、产业发展等业务数据统计分析，并以可视化图表和专题图形式进行展示，便于掌握国有林场各业务开展情况。</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40】</w:t>
      </w:r>
      <w:r>
        <w:rPr>
          <w:rFonts w:ascii="仿宋_GB2312" w:hAnsi="仿宋_GB2312" w:cs="仿宋_GB2312" w:eastAsia="仿宋_GB2312"/>
          <w:sz w:val="24"/>
        </w:rPr>
        <w:t>①类别选择。依托国有林场数据治理成果的分类体系，建立智能化的统计分析类别导航机制，根据数据治理形成的资源管理、经营管理、产业发展三大核心类别，构建分层分类的统计分析入口。通过历史查询日志分析，由AI总结各类别下的常用、高频统计分析需求，经管理员确认后形成各类别的常用、高频统计分析提示词，为快速统计分析提供服务支撑，为业务管理和决策提供信息服务。</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41】</w:t>
      </w:r>
      <w:r>
        <w:rPr>
          <w:rFonts w:ascii="仿宋_GB2312" w:hAnsi="仿宋_GB2312" w:cs="仿宋_GB2312" w:eastAsia="仿宋_GB2312"/>
          <w:sz w:val="24"/>
        </w:rPr>
        <w:t>②根据提示词，结合业务应用需要，进行统计分析查询指标的输出，并自动进行统计图表的分析与成果可视化。支持问题解析，利用大语言模型的自然语言理解能力；支持查询接口调度，根据问题解析结果，调度查询智能体自动匹配最优统计分析接口，基于需要的查询分类与指标种类，实现对数据获取和按需的统计分析，数据内容查询与总结采用异步和队列方式处理保障系统稳定性，满足多人使用需要，具备智能查询、多维度统计分析、趋势识别分析、深度洞察与归因分析；支持结果输出，基于统计分析结果，利用智能体和大语言模型，实现结果的输出，利用数据元数据知识库以及语义增强内容，包括文字总结生成和可视化呈现。</w:t>
      </w:r>
    </w:p>
    <w:p>
      <w:pPr>
        <w:pStyle w:val="null3"/>
        <w:ind w:firstLine="480"/>
      </w:pPr>
      <w:r>
        <w:rPr>
          <w:rFonts w:ascii="仿宋_GB2312" w:hAnsi="仿宋_GB2312" w:cs="仿宋_GB2312" w:eastAsia="仿宋_GB2312"/>
          <w:sz w:val="21"/>
        </w:rPr>
        <w:t>【项号</w:t>
      </w:r>
      <w:r>
        <w:rPr>
          <w:rFonts w:ascii="仿宋_GB2312" w:hAnsi="仿宋_GB2312" w:cs="仿宋_GB2312" w:eastAsia="仿宋_GB2312"/>
          <w:sz w:val="21"/>
        </w:rPr>
        <w:t>42】</w:t>
      </w:r>
      <w:r>
        <w:rPr>
          <w:rFonts w:ascii="仿宋_GB2312" w:hAnsi="仿宋_GB2312" w:cs="仿宋_GB2312" w:eastAsia="仿宋_GB2312"/>
          <w:sz w:val="24"/>
        </w:rPr>
        <w:t>③成果输出。支撑统计分析成果的导出，包括：支持导出文字或图表形式的分析结果输出PDF或图片；支持导出表格形式的数据统计内容。</w:t>
      </w:r>
    </w:p>
    <w:p>
      <w:pPr>
        <w:pStyle w:val="null3"/>
        <w:jc w:val="both"/>
      </w:pPr>
      <w:r>
        <w:rPr>
          <w:rFonts w:ascii="仿宋_GB2312" w:hAnsi="仿宋_GB2312" w:cs="仿宋_GB2312" w:eastAsia="仿宋_GB2312"/>
          <w:sz w:val="28"/>
          <w:b/>
        </w:rPr>
        <w:t>4.其他技术和服务要求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1"/>
        </w:rPr>
        <w:t>【项号</w:t>
      </w:r>
      <w:r>
        <w:rPr>
          <w:rFonts w:ascii="仿宋_GB2312" w:hAnsi="仿宋_GB2312" w:cs="仿宋_GB2312" w:eastAsia="仿宋_GB2312"/>
          <w:sz w:val="21"/>
        </w:rPr>
        <w:t>43】</w:t>
      </w:r>
      <w:r>
        <w:rPr>
          <w:rFonts w:ascii="仿宋_GB2312" w:hAnsi="仿宋_GB2312" w:cs="仿宋_GB2312" w:eastAsia="仿宋_GB2312"/>
          <w:sz w:val="24"/>
        </w:rPr>
        <w:t>（</w:t>
      </w:r>
      <w:r>
        <w:rPr>
          <w:rFonts w:ascii="仿宋_GB2312" w:hAnsi="仿宋_GB2312" w:cs="仿宋_GB2312" w:eastAsia="仿宋_GB2312"/>
          <w:sz w:val="24"/>
        </w:rPr>
        <w:t>1）项目依托智慧林业“123”工程总体框架建设，需要明确项目网络部署架构、数据架构和内外部协同关系。</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1"/>
        </w:rPr>
        <w:t>【项号</w:t>
      </w:r>
      <w:r>
        <w:rPr>
          <w:rFonts w:ascii="仿宋_GB2312" w:hAnsi="仿宋_GB2312" w:cs="仿宋_GB2312" w:eastAsia="仿宋_GB2312"/>
          <w:sz w:val="21"/>
        </w:rPr>
        <w:t>44】</w:t>
      </w:r>
      <w:r>
        <w:rPr>
          <w:rFonts w:ascii="仿宋_GB2312" w:hAnsi="仿宋_GB2312" w:cs="仿宋_GB2312" w:eastAsia="仿宋_GB2312"/>
          <w:sz w:val="24"/>
        </w:rPr>
        <w:t>（</w:t>
      </w:r>
      <w:r>
        <w:rPr>
          <w:rFonts w:ascii="仿宋_GB2312" w:hAnsi="仿宋_GB2312" w:cs="仿宋_GB2312" w:eastAsia="仿宋_GB2312"/>
          <w:sz w:val="24"/>
        </w:rPr>
        <w:t>2）平台依托数字福建政务云资源和公共平台资源，需要明确项目政务云资源需求和公共平台使用需求。</w:t>
      </w:r>
    </w:p>
    <w:p>
      <w:pPr>
        <w:pStyle w:val="null3"/>
        <w:ind w:firstLine="480"/>
      </w:pPr>
      <w:r>
        <w:rPr>
          <w:rFonts w:ascii="仿宋_GB2312" w:hAnsi="仿宋_GB2312" w:cs="仿宋_GB2312" w:eastAsia="仿宋_GB2312"/>
          <w:shd w:fill="FFFF00" w:val="clear"/>
        </w:rPr>
        <w:t>★</w:t>
      </w:r>
      <w:r>
        <w:rPr>
          <w:rFonts w:ascii="仿宋_GB2312" w:hAnsi="仿宋_GB2312" w:cs="仿宋_GB2312" w:eastAsia="仿宋_GB2312"/>
          <w:sz w:val="24"/>
          <w:shd w:fill="FFFF00" w:val="clear"/>
        </w:rPr>
        <w:t>（</w:t>
      </w:r>
      <w:r>
        <w:rPr>
          <w:rFonts w:ascii="仿宋_GB2312" w:hAnsi="仿宋_GB2312" w:cs="仿宋_GB2312" w:eastAsia="仿宋_GB2312"/>
          <w:sz w:val="24"/>
          <w:shd w:fill="FFFF00" w:val="clear"/>
        </w:rPr>
        <w:t>3）智能助手、智能体建设需适配信创服务端和终端环境。</w:t>
      </w:r>
    </w:p>
    <w:p>
      <w:pPr>
        <w:pStyle w:val="null3"/>
        <w:ind w:firstLine="480"/>
      </w:pPr>
      <w:r>
        <w:rPr>
          <w:rFonts w:ascii="仿宋_GB2312" w:hAnsi="仿宋_GB2312" w:cs="仿宋_GB2312" w:eastAsia="仿宋_GB2312"/>
          <w:shd w:fill="FFFF00" w:val="clear"/>
        </w:rPr>
        <w:t>★</w:t>
      </w:r>
      <w:r>
        <w:rPr>
          <w:rFonts w:ascii="仿宋_GB2312" w:hAnsi="仿宋_GB2312" w:cs="仿宋_GB2312" w:eastAsia="仿宋_GB2312"/>
          <w:sz w:val="21"/>
          <w:shd w:fill="FFFF00" w:val="clear"/>
        </w:rPr>
        <w:t>（</w:t>
      </w:r>
      <w:r>
        <w:rPr>
          <w:rFonts w:ascii="仿宋_GB2312" w:hAnsi="仿宋_GB2312" w:cs="仿宋_GB2312" w:eastAsia="仿宋_GB2312"/>
          <w:sz w:val="21"/>
          <w:shd w:fill="FFFF00" w:val="clear"/>
        </w:rPr>
        <w:t>4</w:t>
      </w:r>
      <w:r>
        <w:rPr>
          <w:rFonts w:ascii="仿宋_GB2312" w:hAnsi="仿宋_GB2312" w:cs="仿宋_GB2312" w:eastAsia="仿宋_GB2312"/>
          <w:sz w:val="21"/>
          <w:shd w:fill="FFFF00" w:val="clear"/>
        </w:rPr>
        <w:t>）</w:t>
      </w:r>
      <w:r>
        <w:rPr>
          <w:rFonts w:ascii="仿宋_GB2312" w:hAnsi="仿宋_GB2312" w:cs="仿宋_GB2312" w:eastAsia="仿宋_GB2312"/>
          <w:sz w:val="24"/>
          <w:shd w:fill="FFFF00" w:val="clear"/>
        </w:rPr>
        <w:t>智能助手集成到智慧管理平台，智能体集成到智慧林业二期国有林场管理系统，支持</w:t>
      </w:r>
      <w:r>
        <w:rPr>
          <w:rFonts w:ascii="仿宋_GB2312" w:hAnsi="仿宋_GB2312" w:cs="仿宋_GB2312" w:eastAsia="仿宋_GB2312"/>
          <w:sz w:val="24"/>
          <w:shd w:fill="FFFF00" w:val="clear"/>
        </w:rPr>
        <w:t>其它系统</w:t>
      </w:r>
      <w:r>
        <w:rPr>
          <w:rFonts w:ascii="仿宋_GB2312" w:hAnsi="仿宋_GB2312" w:cs="仿宋_GB2312" w:eastAsia="仿宋_GB2312"/>
          <w:sz w:val="24"/>
          <w:shd w:fill="FFFF00" w:val="clear"/>
        </w:rPr>
        <w:t>调用。</w:t>
      </w:r>
    </w:p>
    <w:p>
      <w:pPr>
        <w:pStyle w:val="null3"/>
        <w:jc w:val="both"/>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合同签订后9个月内完成项目初验，初验完成后1个月内提请项目竣工验收。</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根据采购人要求完成项目，并经业主单位验收合格后交付。</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1、期次1，说明：按照招标文件、投标文件、国家或行业或地方标准以及相关规范要求进行验收。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1、合同签订生效后，达到付款条件起15日内，支付合同总金额的40.00%</w:t>
            </w:r>
          </w:p>
          <w:p>
            <w:pPr>
              <w:pStyle w:val="null3"/>
            </w:pPr>
            <w:r>
              <w:rPr>
                <w:rFonts w:ascii="仿宋_GB2312" w:hAnsi="仿宋_GB2312" w:cs="仿宋_GB2312" w:eastAsia="仿宋_GB2312"/>
              </w:rPr>
              <w:t>2、项目通过初验后，达到付款条件起15日内，支付合同总金额的40.00%</w:t>
            </w:r>
          </w:p>
          <w:p>
            <w:pPr>
              <w:pStyle w:val="null3"/>
            </w:pPr>
            <w:r>
              <w:rPr>
                <w:rFonts w:ascii="仿宋_GB2312" w:hAnsi="仿宋_GB2312" w:cs="仿宋_GB2312" w:eastAsia="仿宋_GB2312"/>
              </w:rPr>
              <w:t>3、目通过验收后，达到付款条件起15日内，支付合同总金额的20.00%</w:t>
            </w:r>
          </w:p>
        </w:tc>
      </w:tr>
      <w:tr>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 xml:space="preserve">    1.项目组织和人员要求：为使工程按质、按量、按时及有序实施。成交人中标后必须提供项目组人员表，成交人对本项目必须有一个完善和稳定的管理组织机构，成交人人员进驻后业主方会对人员进行核对，项目组人员未经采购人同意不得私自调离。</w:t>
      </w:r>
    </w:p>
    <w:p>
      <w:pPr>
        <w:pStyle w:val="null3"/>
        <w:ind w:firstLine="480"/>
      </w:pPr>
      <w:r>
        <w:rPr>
          <w:rFonts w:ascii="仿宋_GB2312" w:hAnsi="仿宋_GB2312" w:cs="仿宋_GB2312" w:eastAsia="仿宋_GB2312"/>
          <w:sz w:val="24"/>
        </w:rPr>
        <w:t>2.项目实施要求：供应商中标后须提供项目实施具体项目人员及组织机构、实施策略、实施计划、项目保障措施、质量控制措施、系统测试、验收、交付物等。</w:t>
      </w:r>
    </w:p>
    <w:p>
      <w:pPr>
        <w:pStyle w:val="null3"/>
        <w:ind w:firstLine="480"/>
        <w:jc w:val="both"/>
      </w:pPr>
      <w:r>
        <w:rPr>
          <w:rFonts w:ascii="仿宋_GB2312" w:hAnsi="仿宋_GB2312" w:cs="仿宋_GB2312" w:eastAsia="仿宋_GB2312"/>
          <w:sz w:val="24"/>
        </w:rPr>
        <w:t>3.项目验收：按照磋商文件、响应文件、国家或行业或地方标准以及相关规范要求进行验收。</w:t>
      </w:r>
    </w:p>
    <w:p>
      <w:pPr>
        <w:pStyle w:val="null3"/>
        <w:ind w:firstLine="480"/>
        <w:jc w:val="both"/>
      </w:pPr>
      <w:r>
        <w:rPr>
          <w:rFonts w:ascii="仿宋_GB2312" w:hAnsi="仿宋_GB2312" w:cs="仿宋_GB2312" w:eastAsia="仿宋_GB2312"/>
          <w:sz w:val="24"/>
        </w:rPr>
        <w:t>3.1验收内容：文档验收，包括需求范围说明书、设计文档、测试报告、培训文档、用户手册等；功能验收，由业主单位委托第三方测评单位组织开展；安全验收，由业主单位委托第三方测评单位组织开展。</w:t>
      </w:r>
    </w:p>
    <w:p>
      <w:pPr>
        <w:pStyle w:val="null3"/>
        <w:ind w:firstLine="480"/>
        <w:jc w:val="both"/>
      </w:pPr>
      <w:r>
        <w:rPr>
          <w:rFonts w:ascii="仿宋_GB2312" w:hAnsi="仿宋_GB2312" w:cs="仿宋_GB2312" w:eastAsia="仿宋_GB2312"/>
          <w:sz w:val="24"/>
        </w:rPr>
        <w:t>3.2验收流程：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1）初步验收：项目承建单位在规定时间内完成项目建设后，向业主单位提交初步验收申请，业主单位根据磋商文件、响应文件</w:t>
      </w:r>
      <w:r>
        <w:rPr>
          <w:rFonts w:ascii="仿宋_GB2312" w:hAnsi="仿宋_GB2312" w:cs="仿宋_GB2312" w:eastAsia="仿宋_GB2312"/>
          <w:sz w:val="24"/>
        </w:rPr>
        <w:t>、</w:t>
      </w:r>
      <w:r>
        <w:rPr>
          <w:rFonts w:ascii="仿宋_GB2312" w:hAnsi="仿宋_GB2312" w:cs="仿宋_GB2312" w:eastAsia="仿宋_GB2312"/>
          <w:sz w:val="24"/>
          <w:color w:val="EE0000"/>
        </w:rPr>
        <w:t>项目建设方案</w:t>
      </w:r>
      <w:r>
        <w:rPr>
          <w:rFonts w:ascii="仿宋_GB2312" w:hAnsi="仿宋_GB2312" w:cs="仿宋_GB2312" w:eastAsia="仿宋_GB2312"/>
          <w:sz w:val="24"/>
        </w:rPr>
        <w:t>以及合同组织项目初步验收会，验收合格双方签署《初步验收合格报告》。若初步验收不合格，承建单位需按业主提出的修改意见及时限要求进行整改，整改完成后再向业主提出初步验收申请，直至通过初步验收为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试运行：项目初步验收合格次日进入项目试运行，试运行期为1个月。试运行期间，项目运行应符合项目合同约定的标准。试运行期间，发现项目有缺陷，或性能和质量不符合业主要求时，项目承建单位有责任对其进行修改和更正：同时试运行期间依据上述修改、更正期间进行相应顺延。试运行期满且无故障后可按要求进行竣工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竣工验收：试运行期满后，由业主单位委托第三方测评单位进行系统测试、安全测评，项目实施方应配合第三方相关工作，并根据第三方测评结果及整改要求进行整改，直至符合测试、安全测评要求。测评通过后项目承建单位向业主方提交竣工验收申请，由业主单位组织对项目进行竣工验收，验收合格双方签署《竣工验收合格报告》。若竣工验收不合格，承建单位需按业主提出的修改意见进行整改，整改完成后再向业主提出竣工验收申请，直至通过竣工验收为止。</w:t>
      </w:r>
    </w:p>
    <w:p>
      <w:pPr>
        <w:pStyle w:val="null3"/>
        <w:ind w:firstLine="480"/>
        <w:jc w:val="both"/>
      </w:pPr>
      <w:r>
        <w:rPr>
          <w:rFonts w:ascii="仿宋_GB2312" w:hAnsi="仿宋_GB2312" w:cs="仿宋_GB2312" w:eastAsia="仿宋_GB2312"/>
          <w:sz w:val="24"/>
        </w:rPr>
        <w:t>3.3成果验收要求：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1）林业知识库成果验收要求</w:t>
      </w:r>
    </w:p>
    <w:p>
      <w:pPr>
        <w:pStyle w:val="null3"/>
        <w:ind w:firstLine="480"/>
        <w:jc w:val="both"/>
      </w:pPr>
      <w:r>
        <w:rPr>
          <w:rFonts w:ascii="仿宋_GB2312" w:hAnsi="仿宋_GB2312" w:cs="仿宋_GB2312" w:eastAsia="仿宋_GB2312"/>
          <w:sz w:val="24"/>
        </w:rPr>
        <w:t>知识库完整性检查，根据业务知识收集、梳理、确认情况，实现业务知识全面入库，核对业务知识入库数量。</w:t>
      </w:r>
    </w:p>
    <w:p>
      <w:pPr>
        <w:pStyle w:val="null3"/>
        <w:ind w:firstLine="420"/>
        <w:jc w:val="both"/>
      </w:pPr>
      <w:r>
        <w:rPr>
          <w:rFonts w:ascii="仿宋_GB2312" w:hAnsi="仿宋_GB2312" w:cs="仿宋_GB2312" w:eastAsia="仿宋_GB2312"/>
          <w:sz w:val="24"/>
        </w:rPr>
        <w:t>知识内容覆盖度检查，根据收集业务知识梳理业务场景关键问题（</w:t>
      </w:r>
      <w:r>
        <w:rPr>
          <w:rFonts w:ascii="仿宋_GB2312" w:hAnsi="仿宋_GB2312" w:cs="仿宋_GB2312" w:eastAsia="仿宋_GB2312"/>
          <w:sz w:val="24"/>
        </w:rPr>
        <w:t>20-30个），检查知识库问题回答的准确性和完整性，覆盖度目标≥90%。</w:t>
      </w:r>
    </w:p>
    <w:p>
      <w:pPr>
        <w:pStyle w:val="null3"/>
        <w:ind w:firstLine="480"/>
        <w:jc w:val="both"/>
      </w:pPr>
      <w:r>
        <w:rPr>
          <w:rFonts w:ascii="仿宋_GB2312" w:hAnsi="仿宋_GB2312" w:cs="仿宋_GB2312" w:eastAsia="仿宋_GB2312"/>
          <w:sz w:val="24"/>
        </w:rPr>
        <w:t>知识库质量检查：随机抽取知识库文档片段（</w:t>
      </w:r>
      <w:r>
        <w:rPr>
          <w:rFonts w:ascii="仿宋_GB2312" w:hAnsi="仿宋_GB2312" w:cs="仿宋_GB2312" w:eastAsia="仿宋_GB2312"/>
          <w:sz w:val="24"/>
        </w:rPr>
        <w:t>30条），评估其准确性、清晰度以及相关性。</w:t>
      </w:r>
    </w:p>
    <w:p>
      <w:pPr>
        <w:pStyle w:val="null3"/>
        <w:ind w:firstLine="480"/>
        <w:jc w:val="both"/>
      </w:pPr>
      <w:r>
        <w:rPr>
          <w:rFonts w:ascii="仿宋_GB2312" w:hAnsi="仿宋_GB2312" w:cs="仿宋_GB2312" w:eastAsia="仿宋_GB2312"/>
          <w:sz w:val="24"/>
        </w:rPr>
        <w:t>向量检索命中测试：根据分类文档数量，每个分类文档按照</w:t>
      </w:r>
      <w:r>
        <w:rPr>
          <w:rFonts w:ascii="仿宋_GB2312" w:hAnsi="仿宋_GB2312" w:cs="仿宋_GB2312" w:eastAsia="仿宋_GB2312"/>
          <w:sz w:val="24"/>
        </w:rPr>
        <w:t>5%比例随机抽取文档，并利用大模型自动生成问题作为广度测试样本，测试Top-5召回率（正确的知识切片出现在检索结果列表前 5 位中的比例）≥80%，答案准确率（生成的回答经专家人工复核，无事实性错误和幻觉）≥80%，拒答准确率（针对知识库范围外的问题或无关问题，系统能够识别并拒绝回答的比例）≥90%。</w:t>
      </w:r>
    </w:p>
    <w:p>
      <w:pPr>
        <w:pStyle w:val="null3"/>
        <w:ind w:firstLine="480"/>
        <w:jc w:val="both"/>
      </w:pPr>
      <w:r>
        <w:rPr>
          <w:rFonts w:ascii="仿宋_GB2312" w:hAnsi="仿宋_GB2312" w:cs="仿宋_GB2312" w:eastAsia="仿宋_GB2312"/>
          <w:sz w:val="24"/>
        </w:rPr>
        <w:t>内容更新功能验收：验证知识内容添加、修改、删除后知识条目是否即时更新，通过查询验证更新成果率是否达到</w:t>
      </w:r>
      <w:r>
        <w:rPr>
          <w:rFonts w:ascii="仿宋_GB2312" w:hAnsi="仿宋_GB2312" w:cs="仿宋_GB2312" w:eastAsia="仿宋_GB2312"/>
          <w:sz w:val="24"/>
        </w:rPr>
        <w:t>100%。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2）智能助手及应用场景智能体成果验收要求</w:t>
      </w:r>
    </w:p>
    <w:p>
      <w:pPr>
        <w:pStyle w:val="null3"/>
        <w:ind w:firstLine="480"/>
        <w:jc w:val="both"/>
      </w:pPr>
      <w:r>
        <w:rPr>
          <w:rFonts w:ascii="仿宋_GB2312" w:hAnsi="仿宋_GB2312" w:cs="仿宋_GB2312" w:eastAsia="仿宋_GB2312"/>
          <w:sz w:val="24"/>
        </w:rPr>
        <w:t>功能验证：针对智能助手和应用场景，每个应用场景设计</w:t>
      </w:r>
      <w:r>
        <w:rPr>
          <w:rFonts w:ascii="仿宋_GB2312" w:hAnsi="仿宋_GB2312" w:cs="仿宋_GB2312" w:eastAsia="仿宋_GB2312"/>
          <w:sz w:val="24"/>
        </w:rPr>
        <w:t>5个左右典型应用场景，测试验证业务应用场景能得到符合预期的、正确的回答或结果；拒答能力验证：针对知识库以外或无关问题，能够礼貌拒绝回答，不编造答案。</w:t>
      </w:r>
    </w:p>
    <w:p>
      <w:pPr>
        <w:pStyle w:val="null3"/>
        <w:ind w:firstLine="480"/>
        <w:jc w:val="both"/>
      </w:pPr>
      <w:r>
        <w:rPr>
          <w:rFonts w:ascii="仿宋_GB2312" w:hAnsi="仿宋_GB2312" w:cs="仿宋_GB2312" w:eastAsia="仿宋_GB2312"/>
          <w:sz w:val="24"/>
        </w:rPr>
        <w:t>准确性验证：基于业务应用场景，每个应用场景设计</w:t>
      </w:r>
      <w:r>
        <w:rPr>
          <w:rFonts w:ascii="仿宋_GB2312" w:hAnsi="仿宋_GB2312" w:cs="仿宋_GB2312" w:eastAsia="仿宋_GB2312"/>
          <w:sz w:val="24"/>
        </w:rPr>
        <w:t>5个问题，验证回答与结果的准确性，准确率≥80%。</w:t>
      </w:r>
    </w:p>
    <w:p>
      <w:pPr>
        <w:pStyle w:val="null3"/>
        <w:ind w:firstLine="480"/>
        <w:jc w:val="both"/>
      </w:pPr>
      <w:r>
        <w:rPr>
          <w:rFonts w:ascii="仿宋_GB2312" w:hAnsi="仿宋_GB2312" w:cs="仿宋_GB2312" w:eastAsia="仿宋_GB2312"/>
          <w:sz w:val="24"/>
        </w:rPr>
        <w:t>性能验收：满足</w:t>
      </w:r>
      <w:r>
        <w:rPr>
          <w:rFonts w:ascii="仿宋_GB2312" w:hAnsi="仿宋_GB2312" w:cs="仿宋_GB2312" w:eastAsia="仿宋_GB2312"/>
          <w:sz w:val="24"/>
        </w:rPr>
        <w:t>30人并发使用。</w:t>
      </w:r>
    </w:p>
    <w:p>
      <w:pPr>
        <w:pStyle w:val="null3"/>
        <w:ind w:firstLine="480"/>
        <w:jc w:val="both"/>
      </w:pPr>
      <w:r>
        <w:rPr>
          <w:rFonts w:ascii="仿宋_GB2312" w:hAnsi="仿宋_GB2312" w:cs="仿宋_GB2312" w:eastAsia="仿宋_GB2312"/>
          <w:sz w:val="24"/>
        </w:rPr>
        <w:t>稳定性验收：连续使用</w:t>
      </w:r>
      <w:r>
        <w:rPr>
          <w:rFonts w:ascii="仿宋_GB2312" w:hAnsi="仿宋_GB2312" w:cs="仿宋_GB2312" w:eastAsia="仿宋_GB2312"/>
          <w:sz w:val="24"/>
        </w:rPr>
        <w:t>30分钟，观察是否卡顿、报错，多人同时访问，看系统是否正常，不出现崩溃或数据丢失问题情况。</w:t>
      </w:r>
    </w:p>
    <w:p>
      <w:pPr>
        <w:pStyle w:val="null3"/>
        <w:ind w:firstLine="480"/>
        <w:jc w:val="both"/>
      </w:pPr>
      <w:r>
        <w:rPr>
          <w:rFonts w:ascii="仿宋_GB2312" w:hAnsi="仿宋_GB2312" w:cs="仿宋_GB2312" w:eastAsia="仿宋_GB2312"/>
          <w:sz w:val="24"/>
        </w:rPr>
        <w:t>4.培训要求。根据用户单位的实际需求，采用多种培训方式相结合的方式，组织开展项目相关培训。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1）集中培训方式。针对运维管理人员和省局核心业务应用人员，开设2次集中培训课程，培训人数不少于50人，采用集中授课的方式进行培训。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2）宣传材料方式。针对平时工作繁忙的大量普通学员，通过印制宣传材料，在相应的职能部门向学员发放，促进其自学。</w:t>
      </w:r>
    </w:p>
    <w:p>
      <w:pPr>
        <w:pStyle w:val="null3"/>
        <w:ind w:firstLine="480"/>
        <w:jc w:val="both"/>
      </w:pPr>
      <w:r>
        <w:rPr>
          <w:rFonts w:ascii="仿宋_GB2312" w:hAnsi="仿宋_GB2312" w:cs="仿宋_GB2312" w:eastAsia="仿宋_GB2312"/>
          <w:sz w:val="24"/>
        </w:rPr>
        <w:t>5.运行维护。项目建成后智能助手、应用场景服务期三年。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1）服务内容：在三年的免费服务期内，项目承建单位负责无偿提供项目运行维护服务（包括但不限于：定期巡查检测服务、</w:t>
      </w:r>
      <w:r>
        <w:rPr>
          <w:rFonts w:ascii="仿宋_GB2312" w:hAnsi="仿宋_GB2312" w:cs="仿宋_GB2312" w:eastAsia="仿宋_GB2312"/>
          <w:sz w:val="24"/>
          <w:color w:val="EE0000"/>
          <w:shd w:fill="FFFF00" w:val="clear"/>
        </w:rPr>
        <w:t>知识库优化完善、智能助手与智能体运维、</w:t>
      </w:r>
      <w:r>
        <w:rPr>
          <w:rFonts w:ascii="仿宋_GB2312" w:hAnsi="仿宋_GB2312" w:cs="仿宋_GB2312" w:eastAsia="仿宋_GB2312"/>
          <w:sz w:val="24"/>
        </w:rPr>
        <w:t>数据库维护服务、中间件维护服务、系统安全维护服务、系统软件维护服务、人员培训服务、合同约定功能模块的常规运行维护、故障修复及基于现有接口的微小调整等）。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2）故常处理响应</w:t>
      </w:r>
    </w:p>
    <w:p>
      <w:pPr>
        <w:pStyle w:val="null3"/>
        <w:ind w:firstLine="480"/>
        <w:jc w:val="both"/>
      </w:pPr>
      <w:r>
        <w:rPr>
          <w:rFonts w:ascii="仿宋_GB2312" w:hAnsi="仿宋_GB2312" w:cs="仿宋_GB2312" w:eastAsia="仿宋_GB2312"/>
          <w:sz w:val="24"/>
        </w:rPr>
        <w:t>在项目运维服务期内，承建单位应提供</w:t>
      </w:r>
      <w:r>
        <w:rPr>
          <w:rFonts w:ascii="仿宋_GB2312" w:hAnsi="仿宋_GB2312" w:cs="仿宋_GB2312" w:eastAsia="仿宋_GB2312"/>
          <w:sz w:val="24"/>
        </w:rPr>
        <w:t>7*24远程技术支持或现场技术支持，当智能助手、应用场景出现故障时，项目承建单位应根据不同的故障级别提供相应的服务响应，以保障智能助手、应用场景稳定运行。</w:t>
      </w:r>
    </w:p>
    <w:tbl>
      <w:tblPr>
        <w:tblW w:w="0" w:type="auto"/>
        <w:tblBorders>
          <w:top w:val="none" w:color="000000" w:sz="4"/>
          <w:left w:val="none" w:color="000000" w:sz="4"/>
          <w:bottom w:val="none" w:color="000000" w:sz="4"/>
          <w:right w:val="none" w:color="000000" w:sz="4"/>
          <w:insideH w:val="none"/>
          <w:insideV w:val="none"/>
        </w:tblBorders>
      </w:tblPr>
      <w:tblGrid>
        <w:gridCol w:w="825"/>
        <w:gridCol w:w="1215"/>
        <w:gridCol w:w="2955"/>
        <w:gridCol w:w="3255"/>
      </w:tblGrid>
      <w:tr>
        <w:tc>
          <w:tcPr>
            <w:tcW w:type="dxa" w:w="825"/>
            <w:tcBorders>
              <w:top w:val="double" w:color="000000" w:sz="4"/>
              <w:left w:val="double" w:color="000000" w:sz="4"/>
              <w:bottom w:val="single" w:color="000000" w:sz="4"/>
              <w:right w:val="single" w:color="000000" w:sz="4"/>
            </w:tcBorders>
            <w:shd w:fill="AEAAAA"/>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215"/>
            <w:tcBorders>
              <w:top w:val="double" w:color="000000" w:sz="4"/>
              <w:left w:val="none" w:color="000000" w:sz="4"/>
              <w:bottom w:val="single" w:color="000000" w:sz="4"/>
              <w:right w:val="single" w:color="000000" w:sz="4"/>
            </w:tcBorders>
            <w:shd w:fill="AEAAAA"/>
            <w:tcMar>
              <w:top w:type="dxa" w:w="0"/>
              <w:left w:type="dxa" w:w="105"/>
              <w:bottom w:type="dxa" w:w="0"/>
              <w:right w:type="dxa" w:w="105"/>
            </w:tcMar>
            <w:vAlign w:val="top"/>
          </w:tcPr>
          <w:p>
            <w:pPr>
              <w:pStyle w:val="null3"/>
              <w:jc w:val="both"/>
            </w:pPr>
            <w:r>
              <w:rPr>
                <w:rFonts w:ascii="仿宋_GB2312" w:hAnsi="仿宋_GB2312" w:cs="仿宋_GB2312" w:eastAsia="仿宋_GB2312"/>
                <w:sz w:val="21"/>
              </w:rPr>
              <w:t>故障类别</w:t>
            </w:r>
          </w:p>
        </w:tc>
        <w:tc>
          <w:tcPr>
            <w:tcW w:type="dxa" w:w="2955"/>
            <w:tcBorders>
              <w:top w:val="double" w:color="000000" w:sz="4"/>
              <w:left w:val="none" w:color="000000" w:sz="4"/>
              <w:bottom w:val="single" w:color="000000" w:sz="4"/>
              <w:right w:val="single" w:color="000000" w:sz="4"/>
            </w:tcBorders>
            <w:shd w:fill="AEAAAA"/>
            <w:tcMar>
              <w:top w:type="dxa" w:w="0"/>
              <w:left w:type="dxa" w:w="105"/>
              <w:bottom w:type="dxa" w:w="0"/>
              <w:right w:type="dxa" w:w="105"/>
            </w:tcMar>
            <w:vAlign w:val="top"/>
          </w:tcPr>
          <w:p>
            <w:pPr>
              <w:pStyle w:val="null3"/>
              <w:jc w:val="both"/>
            </w:pPr>
            <w:r>
              <w:rPr>
                <w:rFonts w:ascii="仿宋_GB2312" w:hAnsi="仿宋_GB2312" w:cs="仿宋_GB2312" w:eastAsia="仿宋_GB2312"/>
                <w:sz w:val="21"/>
              </w:rPr>
              <w:t>故障现象</w:t>
            </w:r>
          </w:p>
        </w:tc>
        <w:tc>
          <w:tcPr>
            <w:tcW w:type="dxa" w:w="3255"/>
            <w:tcBorders>
              <w:top w:val="double" w:color="000000" w:sz="4"/>
              <w:left w:val="none" w:color="000000" w:sz="4"/>
              <w:bottom w:val="single" w:color="000000" w:sz="4"/>
              <w:right w:val="double" w:color="000000" w:sz="4"/>
            </w:tcBorders>
            <w:shd w:fill="AEAAAA"/>
            <w:tcMar>
              <w:top w:type="dxa" w:w="0"/>
              <w:left w:type="dxa" w:w="105"/>
              <w:bottom w:type="dxa" w:w="0"/>
              <w:right w:type="dxa" w:w="105"/>
            </w:tcMar>
            <w:vAlign w:val="top"/>
          </w:tcPr>
          <w:p>
            <w:pPr>
              <w:pStyle w:val="null3"/>
              <w:jc w:val="both"/>
            </w:pPr>
            <w:r>
              <w:rPr>
                <w:rFonts w:ascii="仿宋_GB2312" w:hAnsi="仿宋_GB2312" w:cs="仿宋_GB2312" w:eastAsia="仿宋_GB2312"/>
                <w:sz w:val="21"/>
              </w:rPr>
              <w:t>响应时间及处置要求</w:t>
            </w:r>
          </w:p>
        </w:tc>
      </w:tr>
      <w:tr>
        <w:tc>
          <w:tcPr>
            <w:tcW w:type="dxa" w:w="82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I级故障</w:t>
            </w: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系统在运行过程中出现的系统瘫痪或服务中断的故障问题，导致系统核心功能不可用时间超过</w:t>
            </w:r>
            <w:r>
              <w:rPr>
                <w:rFonts w:ascii="仿宋_GB2312" w:hAnsi="仿宋_GB2312" w:cs="仿宋_GB2312" w:eastAsia="仿宋_GB2312"/>
                <w:sz w:val="21"/>
              </w:rPr>
              <w:t>1分钟，或影响50%在线用户。</w:t>
            </w:r>
          </w:p>
        </w:tc>
        <w:tc>
          <w:tcPr>
            <w:tcW w:type="dxa" w:w="325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故障应于</w:t>
            </w:r>
            <w:r>
              <w:rPr>
                <w:rFonts w:ascii="仿宋_GB2312" w:hAnsi="仿宋_GB2312" w:cs="仿宋_GB2312" w:eastAsia="仿宋_GB2312"/>
                <w:sz w:val="21"/>
              </w:rPr>
              <w:t>10分钟内响应。</w:t>
            </w:r>
          </w:p>
          <w:p>
            <w:pPr>
              <w:pStyle w:val="null3"/>
              <w:jc w:val="both"/>
            </w:pPr>
            <w:r>
              <w:rPr>
                <w:rFonts w:ascii="仿宋_GB2312" w:hAnsi="仿宋_GB2312" w:cs="仿宋_GB2312" w:eastAsia="仿宋_GB2312"/>
                <w:sz w:val="21"/>
              </w:rPr>
              <w:t>可通过远程方式解决的故障，应在半小时内解决；</w:t>
            </w:r>
          </w:p>
          <w:p>
            <w:pPr>
              <w:pStyle w:val="null3"/>
              <w:jc w:val="both"/>
            </w:pPr>
            <w:r>
              <w:rPr>
                <w:rFonts w:ascii="仿宋_GB2312" w:hAnsi="仿宋_GB2312" w:cs="仿宋_GB2312" w:eastAsia="仿宋_GB2312"/>
                <w:sz w:val="21"/>
              </w:rPr>
              <w:t>需指派售后工程师到现场修复的故障，应在</w:t>
            </w:r>
            <w:r>
              <w:rPr>
                <w:rFonts w:ascii="仿宋_GB2312" w:hAnsi="仿宋_GB2312" w:cs="仿宋_GB2312" w:eastAsia="仿宋_GB2312"/>
                <w:sz w:val="21"/>
              </w:rPr>
              <w:t>4小时内修复（含路程时间及非上班时间）。</w:t>
            </w:r>
          </w:p>
        </w:tc>
      </w:tr>
      <w:tr>
        <w:tc>
          <w:tcPr>
            <w:tcW w:type="dxa" w:w="82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Ⅱ级故障</w:t>
            </w: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系统在运行过程中出现的具有潜在的系统瘫痪或服务中断的故障问题，导致基础功能不可用时间超过</w:t>
            </w:r>
            <w:r>
              <w:rPr>
                <w:rFonts w:ascii="仿宋_GB2312" w:hAnsi="仿宋_GB2312" w:cs="仿宋_GB2312" w:eastAsia="仿宋_GB2312"/>
                <w:sz w:val="21"/>
              </w:rPr>
              <w:t>3个小时，或影响20%在线用户。</w:t>
            </w:r>
          </w:p>
        </w:tc>
        <w:tc>
          <w:tcPr>
            <w:tcW w:type="dxa" w:w="325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故障应于</w:t>
            </w:r>
            <w:r>
              <w:rPr>
                <w:rFonts w:ascii="仿宋_GB2312" w:hAnsi="仿宋_GB2312" w:cs="仿宋_GB2312" w:eastAsia="仿宋_GB2312"/>
                <w:sz w:val="21"/>
              </w:rPr>
              <w:t>1小时内响应。</w:t>
            </w:r>
          </w:p>
          <w:p>
            <w:pPr>
              <w:pStyle w:val="null3"/>
              <w:jc w:val="both"/>
            </w:pPr>
            <w:r>
              <w:rPr>
                <w:rFonts w:ascii="仿宋_GB2312" w:hAnsi="仿宋_GB2312" w:cs="仿宋_GB2312" w:eastAsia="仿宋_GB2312"/>
                <w:sz w:val="21"/>
              </w:rPr>
              <w:t>可通过远程方式解决的故障，应在</w:t>
            </w:r>
            <w:r>
              <w:rPr>
                <w:rFonts w:ascii="仿宋_GB2312" w:hAnsi="仿宋_GB2312" w:cs="仿宋_GB2312" w:eastAsia="仿宋_GB2312"/>
                <w:sz w:val="21"/>
              </w:rPr>
              <w:t>3小时内解决；</w:t>
            </w:r>
          </w:p>
          <w:p>
            <w:pPr>
              <w:pStyle w:val="null3"/>
              <w:jc w:val="both"/>
            </w:pPr>
            <w:r>
              <w:rPr>
                <w:rFonts w:ascii="仿宋_GB2312" w:hAnsi="仿宋_GB2312" w:cs="仿宋_GB2312" w:eastAsia="仿宋_GB2312"/>
                <w:sz w:val="21"/>
              </w:rPr>
              <w:t>需指派售后工程师抵达现场的故障，应在</w:t>
            </w:r>
            <w:r>
              <w:rPr>
                <w:rFonts w:ascii="仿宋_GB2312" w:hAnsi="仿宋_GB2312" w:cs="仿宋_GB2312" w:eastAsia="仿宋_GB2312"/>
                <w:sz w:val="21"/>
              </w:rPr>
              <w:t>6小时内修复（含路程时间及非上班时间）。</w:t>
            </w:r>
          </w:p>
        </w:tc>
      </w:tr>
      <w:tr>
        <w:tc>
          <w:tcPr>
            <w:tcW w:type="dxa" w:w="82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Ⅲ级故障</w:t>
            </w: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系统在运行过程中出现的影响业务、并导致系统性能或服务部分退化的故障问题，导致系统响应缓慢。</w:t>
            </w:r>
          </w:p>
        </w:tc>
        <w:tc>
          <w:tcPr>
            <w:tcW w:type="dxa" w:w="325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故障于</w:t>
            </w:r>
            <w:r>
              <w:rPr>
                <w:rFonts w:ascii="仿宋_GB2312" w:hAnsi="仿宋_GB2312" w:cs="仿宋_GB2312" w:eastAsia="仿宋_GB2312"/>
                <w:sz w:val="21"/>
              </w:rPr>
              <w:t>2小时内响应。</w:t>
            </w:r>
          </w:p>
          <w:p>
            <w:pPr>
              <w:pStyle w:val="null3"/>
              <w:jc w:val="both"/>
            </w:pPr>
            <w:r>
              <w:rPr>
                <w:rFonts w:ascii="仿宋_GB2312" w:hAnsi="仿宋_GB2312" w:cs="仿宋_GB2312" w:eastAsia="仿宋_GB2312"/>
                <w:sz w:val="21"/>
              </w:rPr>
              <w:t>可通过远程方式解决的故障，应在</w:t>
            </w:r>
            <w:r>
              <w:rPr>
                <w:rFonts w:ascii="仿宋_GB2312" w:hAnsi="仿宋_GB2312" w:cs="仿宋_GB2312" w:eastAsia="仿宋_GB2312"/>
                <w:sz w:val="21"/>
              </w:rPr>
              <w:t>4小时内解决；</w:t>
            </w:r>
          </w:p>
          <w:p>
            <w:pPr>
              <w:pStyle w:val="null3"/>
              <w:jc w:val="both"/>
            </w:pPr>
            <w:r>
              <w:rPr>
                <w:rFonts w:ascii="仿宋_GB2312" w:hAnsi="仿宋_GB2312" w:cs="仿宋_GB2312" w:eastAsia="仿宋_GB2312"/>
                <w:sz w:val="21"/>
              </w:rPr>
              <w:t>需指派售后工程师抵达现场的故障，应在</w:t>
            </w:r>
            <w:r>
              <w:rPr>
                <w:rFonts w:ascii="仿宋_GB2312" w:hAnsi="仿宋_GB2312" w:cs="仿宋_GB2312" w:eastAsia="仿宋_GB2312"/>
                <w:sz w:val="21"/>
              </w:rPr>
              <w:t>8小时内修复（含路程时间及非上班时间）。</w:t>
            </w:r>
          </w:p>
        </w:tc>
      </w:tr>
      <w:tr>
        <w:tc>
          <w:tcPr>
            <w:tcW w:type="dxa" w:w="825"/>
            <w:tcBorders>
              <w:top w:val="non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215"/>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Ⅳ级故障</w:t>
            </w:r>
          </w:p>
        </w:tc>
        <w:tc>
          <w:tcPr>
            <w:tcW w:type="dxa" w:w="2955"/>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系统在运行过程中，客户对产品功能、配置等方面提出新的需求，对业务系统几乎无影响的咨询类故障问题</w:t>
            </w:r>
          </w:p>
        </w:tc>
        <w:tc>
          <w:tcPr>
            <w:tcW w:type="dxa" w:w="3255"/>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通过远程方式解决，应于</w:t>
            </w:r>
            <w:r>
              <w:rPr>
                <w:rFonts w:ascii="仿宋_GB2312" w:hAnsi="仿宋_GB2312" w:cs="仿宋_GB2312" w:eastAsia="仿宋_GB2312"/>
                <w:sz w:val="21"/>
              </w:rPr>
              <w:t>2小时内针对客户提出的需求，提供相关的服务</w:t>
            </w:r>
          </w:p>
        </w:tc>
      </w:tr>
    </w:tbl>
    <w:p>
      <w:pPr>
        <w:pStyle w:val="null3"/>
        <w:ind w:firstLine="480"/>
        <w:jc w:val="both"/>
      </w:pPr>
      <w:r>
        <w:rPr>
          <w:rFonts w:ascii="仿宋_GB2312" w:hAnsi="仿宋_GB2312" w:cs="仿宋_GB2312" w:eastAsia="仿宋_GB2312"/>
          <w:sz w:val="24"/>
        </w:rPr>
        <w:t>6.知识产权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采购人提供的基础数据、文档资料等原有素材，其知识产权及相关权益仍归采购人所有。成交人为履行本合同所开发的软件系统源代码、技术文档、定制算法模型等成果的知识产权，除双方另有约定外，归采购人所有。成交人应在项目验收后【30】日内完成源代码及技术资料的移交。</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2）本项目形成的林业知识库内容，其数据所有权归采购人。成交人对知识库内容进行结构化处理、向量化等加工形成的特定数据库架构的知识产权归属采购人所有。</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1.除磋商文件另有规定外，若出现有关法律、法规和规章有强制性规定但磋商文件未列明的情形，则成交人应按照有关法律、法规和规章强制性规定执行。 2.本磋商文件未明确的其它约定事项或条款，待采购人与成交人签订合同时，由双方协商订立。</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19.1本合同可用于政府采购合同融资，为本项目提供合同融资的金融机构为：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[350131]FZYX[采招][CS]2025001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福建省林业数据智库</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1(福建省林业数据智库)</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福建省林业数据智库</w:t>
            </w:r>
          </w:p>
        </w:tc>
        <w:tc>
          <w:tcPr>
            <w:tcW w:type="dxa" w:w="1661"/>
          </w:tcPr>
          <w:p>
            <w:pPr>
              <w:pStyle w:val="null3"/>
              <w:jc w:val="left"/>
            </w:pPr>
            <w:r>
              <w:rPr>
                <w:rFonts w:ascii="仿宋_GB2312" w:hAnsi="仿宋_GB2312" w:cs="仿宋_GB2312" w:eastAsia="仿宋_GB2312"/>
              </w:rPr>
              <w:t xml:space="preserve"> 2254900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[350131]FZYX[采招][CS]2025001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福建省林业数据智库</w:t>
      </w:r>
    </w:p>
    <w:p>
      <w:pPr>
        <w:pStyle w:val="null3"/>
        <w:jc w:val="left"/>
      </w:pPr>
      <w:r>
        <w:rPr>
          <w:rFonts w:ascii="仿宋_GB2312" w:hAnsi="仿宋_GB2312" w:cs="仿宋_GB2312" w:eastAsia="仿宋_GB2312"/>
        </w:rPr>
        <w:t>采购包：</w:t>
      </w:r>
      <w:r>
        <w:rPr>
          <w:rFonts w:ascii="仿宋_GB2312" w:hAnsi="仿宋_GB2312" w:cs="仿宋_GB2312" w:eastAsia="仿宋_GB2312"/>
        </w:rPr>
        <w:t>福建省林业数据智库</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林业数据智库</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林业数据智库</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2254900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